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5D4B" w14:textId="6A58947B" w:rsidR="00C55488" w:rsidRDefault="00C55488" w:rsidP="00B81D22">
      <w:pPr>
        <w:keepNext/>
        <w:spacing w:before="480" w:after="240" w:line="240" w:lineRule="auto"/>
        <w:ind w:right="567" w:firstLine="426"/>
        <w:rPr>
          <w:rFonts w:ascii="Roboto Slab" w:eastAsia="Calibri" w:hAnsi="Roboto Slab" w:cs="Times New Roman"/>
          <w:b/>
          <w:bCs/>
          <w:noProof/>
          <w:sz w:val="24"/>
          <w:u w:val="single"/>
        </w:rPr>
      </w:pPr>
      <w:bookmarkStart w:id="0" w:name="_Hlk29997668"/>
      <w:r w:rsidRPr="00C55488">
        <w:rPr>
          <w:rFonts w:ascii="Roboto Slab" w:eastAsia="Calibri" w:hAnsi="Roboto Slab" w:cs="Times New Roman"/>
          <w:b/>
          <w:bCs/>
          <w:noProof/>
          <w:sz w:val="24"/>
          <w:u w:val="single"/>
        </w:rPr>
        <w:t>CARAT Vorlage Endkunden-Quartalsbericht Q2/2025</w:t>
      </w:r>
      <w:r>
        <w:rPr>
          <w:rFonts w:ascii="Roboto Slab" w:eastAsia="Calibri" w:hAnsi="Roboto Slab" w:cs="Times New Roman"/>
          <w:b/>
          <w:bCs/>
          <w:noProof/>
          <w:sz w:val="24"/>
          <w:u w:val="single"/>
        </w:rPr>
        <w:t xml:space="preserve"> (Stand 10.07.25)</w:t>
      </w:r>
    </w:p>
    <w:p w14:paraId="667B87EA" w14:textId="77777777" w:rsidR="00C55488" w:rsidRPr="00C55488" w:rsidRDefault="00C55488" w:rsidP="00B81D22">
      <w:pPr>
        <w:keepNext/>
        <w:spacing w:before="480" w:after="240" w:line="240" w:lineRule="auto"/>
        <w:ind w:right="567" w:firstLine="426"/>
        <w:rPr>
          <w:rFonts w:ascii="Roboto Slab" w:eastAsia="Calibri" w:hAnsi="Roboto Slab" w:cs="Times New Roman"/>
          <w:b/>
          <w:bCs/>
          <w:noProof/>
          <w:sz w:val="24"/>
          <w:u w:val="single"/>
        </w:rPr>
      </w:pPr>
    </w:p>
    <w:p w14:paraId="281446C7" w14:textId="61F3DC56" w:rsidR="000022F6" w:rsidRPr="00CB0181" w:rsidRDefault="00FB3B7A" w:rsidP="00B81D22">
      <w:pPr>
        <w:keepNext/>
        <w:spacing w:before="480" w:after="240" w:line="240" w:lineRule="auto"/>
        <w:ind w:right="567" w:firstLine="426"/>
        <w:rPr>
          <w:rFonts w:ascii="Roboto Slab" w:eastAsia="Calibri" w:hAnsi="Roboto Slab" w:cs="Times New Roman"/>
          <w:b/>
          <w:bCs/>
          <w:noProof/>
          <w:sz w:val="20"/>
          <w:szCs w:val="20"/>
        </w:rPr>
      </w:pPr>
      <w:r w:rsidRPr="00CB0181">
        <w:rPr>
          <w:rFonts w:ascii="Roboto Slab" w:eastAsia="Calibri" w:hAnsi="Roboto Slab" w:cs="Times New Roman"/>
          <w:b/>
          <w:bCs/>
          <w:noProof/>
          <w:sz w:val="20"/>
          <w:szCs w:val="20"/>
        </w:rPr>
        <w:t>E</w:t>
      </w:r>
      <w:r w:rsidR="007232BA" w:rsidRPr="00CB0181">
        <w:rPr>
          <w:rFonts w:ascii="Roboto Slab" w:eastAsia="Calibri" w:hAnsi="Roboto Slab" w:cs="Times New Roman"/>
          <w:b/>
          <w:bCs/>
          <w:noProof/>
          <w:sz w:val="20"/>
          <w:szCs w:val="20"/>
        </w:rPr>
        <w:t xml:space="preserve">rhöhte </w:t>
      </w:r>
      <w:r w:rsidR="00FF0B9F" w:rsidRPr="00CB0181">
        <w:rPr>
          <w:rFonts w:ascii="Roboto Slab" w:eastAsia="Calibri" w:hAnsi="Roboto Slab" w:cs="Times New Roman"/>
          <w:b/>
          <w:bCs/>
          <w:noProof/>
          <w:sz w:val="20"/>
          <w:szCs w:val="20"/>
        </w:rPr>
        <w:t>Unsicherheit an den Kapitalmärkte</w:t>
      </w:r>
      <w:r w:rsidR="0021052F" w:rsidRPr="00CB0181">
        <w:rPr>
          <w:rFonts w:ascii="Roboto Slab" w:eastAsia="Calibri" w:hAnsi="Roboto Slab" w:cs="Times New Roman"/>
          <w:b/>
          <w:bCs/>
          <w:noProof/>
          <w:sz w:val="20"/>
          <w:szCs w:val="20"/>
        </w:rPr>
        <w:t>n</w:t>
      </w:r>
      <w:r w:rsidRPr="00CB0181">
        <w:rPr>
          <w:rFonts w:ascii="Roboto Slab" w:eastAsia="Calibri" w:hAnsi="Roboto Slab" w:cs="Times New Roman"/>
          <w:b/>
          <w:bCs/>
          <w:noProof/>
          <w:sz w:val="20"/>
          <w:szCs w:val="20"/>
        </w:rPr>
        <w:t xml:space="preserve"> infolge politischer Entwicklungen</w:t>
      </w:r>
    </w:p>
    <w:p w14:paraId="621AC0DC" w14:textId="632AE798" w:rsidR="00FF1236" w:rsidRPr="00CB0181" w:rsidRDefault="00FF1236" w:rsidP="00FF1236">
      <w:pPr>
        <w:spacing w:line="240" w:lineRule="auto"/>
        <w:ind w:left="426"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Das zweite Quartal 2025 war geprägt von einer bemerkenswerten Mischung aus wirtschaftliche</w:t>
      </w:r>
      <w:r w:rsidR="00DA3F1F" w:rsidRPr="00CB0181">
        <w:rPr>
          <w:rFonts w:ascii="Roboto Slab" w:eastAsia="Calibri" w:hAnsi="Roboto Slab" w:cs="Times New Roman"/>
          <w:noProof/>
          <w:sz w:val="20"/>
          <w:szCs w:val="20"/>
        </w:rPr>
        <w:t>n</w:t>
      </w:r>
      <w:r w:rsidRPr="00CB0181">
        <w:rPr>
          <w:rFonts w:ascii="Roboto Slab" w:eastAsia="Calibri" w:hAnsi="Roboto Slab" w:cs="Times New Roman"/>
          <w:noProof/>
          <w:sz w:val="20"/>
          <w:szCs w:val="20"/>
        </w:rPr>
        <w:t xml:space="preserve"> Erholungstendenzen, handelspolitischen Turbulenzen und geopolitischen Spannungen, die die Kapitalmärkte zeitweise stark beeinflussten. Insbesondere der von den USA initiierte Zollstreit, die anhaltende konjunkturelle Unsicherheit in den Vereinigten Staaten sowie die kurzfristige Eskalation des Konflikts zwischen Israel und dem Iran prägten die Marktbewegungen und das Investorenverhalten in den vergangenen Monaten.</w:t>
      </w:r>
    </w:p>
    <w:p w14:paraId="3135D394" w14:textId="77777777" w:rsidR="00AB7EAF" w:rsidRPr="00CB0181" w:rsidRDefault="00AB7EAF" w:rsidP="00FF1236">
      <w:pPr>
        <w:spacing w:line="240" w:lineRule="auto"/>
        <w:ind w:left="426" w:right="567"/>
        <w:rPr>
          <w:rFonts w:ascii="Roboto Slab" w:eastAsia="Calibri" w:hAnsi="Roboto Slab" w:cs="Times New Roman"/>
          <w:noProof/>
          <w:sz w:val="20"/>
          <w:szCs w:val="20"/>
        </w:rPr>
      </w:pPr>
    </w:p>
    <w:p w14:paraId="3765AE76" w14:textId="33425556" w:rsidR="00FF1236" w:rsidRPr="00CB0181" w:rsidRDefault="00FF1236" w:rsidP="00FF1236">
      <w:pPr>
        <w:spacing w:line="240" w:lineRule="auto"/>
        <w:ind w:left="426"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 xml:space="preserve">Zu Beginn des Quartals sorgte die überraschende Ankündigung massiver US-Zölle auf Importe aus der EU und China für erhebliche Verunsicherung an den internationalen Börsen. Die darauf folgenden Gegenmaßnahmen der Handelspartner führten kurzzeitig zu einem regelrechten Zollkrieg, der zeitweise </w:t>
      </w:r>
      <w:r w:rsidR="00DA3F1F" w:rsidRPr="00CB0181">
        <w:rPr>
          <w:rFonts w:ascii="Roboto Slab" w:eastAsia="Calibri" w:hAnsi="Roboto Slab" w:cs="Times New Roman"/>
          <w:noProof/>
          <w:sz w:val="20"/>
          <w:szCs w:val="20"/>
        </w:rPr>
        <w:t>Importz</w:t>
      </w:r>
      <w:r w:rsidRPr="00CB0181">
        <w:rPr>
          <w:rFonts w:ascii="Roboto Slab" w:eastAsia="Calibri" w:hAnsi="Roboto Slab" w:cs="Times New Roman"/>
          <w:noProof/>
          <w:sz w:val="20"/>
          <w:szCs w:val="20"/>
        </w:rPr>
        <w:t xml:space="preserve">ölle von </w:t>
      </w:r>
      <w:r w:rsidR="00DA3F1F" w:rsidRPr="00CB0181">
        <w:rPr>
          <w:rFonts w:ascii="Roboto Slab" w:eastAsia="Calibri" w:hAnsi="Roboto Slab" w:cs="Times New Roman"/>
          <w:noProof/>
          <w:sz w:val="20"/>
          <w:szCs w:val="20"/>
        </w:rPr>
        <w:t xml:space="preserve">bis zu </w:t>
      </w:r>
      <w:r w:rsidRPr="00CB0181">
        <w:rPr>
          <w:rFonts w:ascii="Roboto Slab" w:eastAsia="Calibri" w:hAnsi="Roboto Slab" w:cs="Times New Roman"/>
          <w:noProof/>
          <w:sz w:val="20"/>
          <w:szCs w:val="20"/>
        </w:rPr>
        <w:t>1</w:t>
      </w:r>
      <w:r w:rsidR="00DA3F1F" w:rsidRPr="00CB0181">
        <w:rPr>
          <w:rFonts w:ascii="Roboto Slab" w:eastAsia="Calibri" w:hAnsi="Roboto Slab" w:cs="Times New Roman"/>
          <w:noProof/>
          <w:sz w:val="20"/>
          <w:szCs w:val="20"/>
        </w:rPr>
        <w:t>45</w:t>
      </w:r>
      <w:r w:rsidRPr="00CB0181">
        <w:rPr>
          <w:rFonts w:ascii="Times New Roman" w:eastAsia="Calibri" w:hAnsi="Times New Roman" w:cs="Times New Roman"/>
          <w:noProof/>
          <w:sz w:val="20"/>
          <w:szCs w:val="20"/>
        </w:rPr>
        <w:t> </w:t>
      </w:r>
      <w:r w:rsidRPr="00CB0181">
        <w:rPr>
          <w:rFonts w:ascii="Roboto Slab" w:eastAsia="Calibri" w:hAnsi="Roboto Slab" w:cs="Times New Roman"/>
          <w:noProof/>
          <w:sz w:val="20"/>
          <w:szCs w:val="20"/>
        </w:rPr>
        <w:t xml:space="preserve">% </w:t>
      </w:r>
      <w:r w:rsidR="00DA3F1F" w:rsidRPr="00CB0181">
        <w:rPr>
          <w:rFonts w:ascii="Roboto Slab" w:eastAsia="Calibri" w:hAnsi="Roboto Slab" w:cs="Times New Roman"/>
          <w:noProof/>
          <w:sz w:val="20"/>
          <w:szCs w:val="20"/>
        </w:rPr>
        <w:t xml:space="preserve">im Falle Chinas </w:t>
      </w:r>
      <w:r w:rsidRPr="00CB0181">
        <w:rPr>
          <w:rFonts w:ascii="Roboto Slab" w:eastAsia="Calibri" w:hAnsi="Roboto Slab" w:cs="Times New Roman"/>
          <w:noProof/>
          <w:sz w:val="20"/>
          <w:szCs w:val="20"/>
        </w:rPr>
        <w:t xml:space="preserve">zur Folge hatte. Erst </w:t>
      </w:r>
      <w:r w:rsidR="000E40EA" w:rsidRPr="00CB0181">
        <w:rPr>
          <w:rFonts w:ascii="Roboto Slab" w:eastAsia="Calibri" w:hAnsi="Roboto Slab" w:cs="Times New Roman"/>
          <w:noProof/>
          <w:sz w:val="20"/>
          <w:szCs w:val="20"/>
        </w:rPr>
        <w:t xml:space="preserve">nachdem </w:t>
      </w:r>
      <w:r w:rsidRPr="00CB0181">
        <w:rPr>
          <w:rFonts w:ascii="Roboto Slab" w:eastAsia="Calibri" w:hAnsi="Roboto Slab" w:cs="Times New Roman"/>
          <w:noProof/>
          <w:sz w:val="20"/>
          <w:szCs w:val="20"/>
        </w:rPr>
        <w:t>diese Strafma</w:t>
      </w:r>
      <w:r w:rsidRPr="00CB0181">
        <w:rPr>
          <w:rFonts w:ascii="Roboto Slab" w:eastAsia="Calibri" w:hAnsi="Roboto Slab" w:cs="Roboto Slab"/>
          <w:noProof/>
          <w:sz w:val="20"/>
          <w:szCs w:val="20"/>
        </w:rPr>
        <w:t>ß</w:t>
      </w:r>
      <w:r w:rsidRPr="00CB0181">
        <w:rPr>
          <w:rFonts w:ascii="Roboto Slab" w:eastAsia="Calibri" w:hAnsi="Roboto Slab" w:cs="Times New Roman"/>
          <w:noProof/>
          <w:sz w:val="20"/>
          <w:szCs w:val="20"/>
        </w:rPr>
        <w:t xml:space="preserve">nahmen </w:t>
      </w:r>
      <w:r w:rsidR="00DA3F1F" w:rsidRPr="00CB0181">
        <w:rPr>
          <w:rFonts w:ascii="Roboto Slab" w:eastAsia="Calibri" w:hAnsi="Roboto Slab" w:cs="Times New Roman"/>
          <w:noProof/>
          <w:sz w:val="20"/>
          <w:szCs w:val="20"/>
        </w:rPr>
        <w:t>am 9.</w:t>
      </w:r>
      <w:r w:rsidR="000E40EA" w:rsidRPr="00CB0181">
        <w:rPr>
          <w:rFonts w:ascii="Roboto Slab" w:eastAsia="Calibri" w:hAnsi="Roboto Slab" w:cs="Times New Roman"/>
          <w:noProof/>
          <w:sz w:val="20"/>
          <w:szCs w:val="20"/>
        </w:rPr>
        <w:t> </w:t>
      </w:r>
      <w:r w:rsidRPr="00CB0181">
        <w:rPr>
          <w:rFonts w:ascii="Roboto Slab" w:eastAsia="Calibri" w:hAnsi="Roboto Slab" w:cs="Times New Roman"/>
          <w:noProof/>
          <w:sz w:val="20"/>
          <w:szCs w:val="20"/>
        </w:rPr>
        <w:t xml:space="preserve">April wieder </w:t>
      </w:r>
      <w:r w:rsidR="00DA3F1F" w:rsidRPr="00CB0181">
        <w:rPr>
          <w:rFonts w:ascii="Roboto Slab" w:eastAsia="Calibri" w:hAnsi="Roboto Slab" w:cs="Times New Roman"/>
          <w:noProof/>
          <w:sz w:val="20"/>
          <w:szCs w:val="20"/>
        </w:rPr>
        <w:t xml:space="preserve">weitestgehend </w:t>
      </w:r>
      <w:r w:rsidRPr="00CB0181">
        <w:rPr>
          <w:rFonts w:ascii="Roboto Slab" w:eastAsia="Calibri" w:hAnsi="Roboto Slab" w:cs="Times New Roman"/>
          <w:noProof/>
          <w:sz w:val="20"/>
          <w:szCs w:val="20"/>
        </w:rPr>
        <w:t>ausgesetzt w</w:t>
      </w:r>
      <w:r w:rsidR="000E40EA" w:rsidRPr="00CB0181">
        <w:rPr>
          <w:rFonts w:ascii="Roboto Slab" w:eastAsia="Calibri" w:hAnsi="Roboto Slab" w:cs="Times New Roman"/>
          <w:noProof/>
          <w:sz w:val="20"/>
          <w:szCs w:val="20"/>
        </w:rPr>
        <w:t>o</w:t>
      </w:r>
      <w:r w:rsidRPr="00CB0181">
        <w:rPr>
          <w:rFonts w:ascii="Roboto Slab" w:eastAsia="Calibri" w:hAnsi="Roboto Slab" w:cs="Times New Roman"/>
          <w:noProof/>
          <w:sz w:val="20"/>
          <w:szCs w:val="20"/>
        </w:rPr>
        <w:t>rden</w:t>
      </w:r>
      <w:r w:rsidR="000E40EA" w:rsidRPr="00CB0181">
        <w:rPr>
          <w:rFonts w:ascii="Roboto Slab" w:eastAsia="Calibri" w:hAnsi="Roboto Slab" w:cs="Times New Roman"/>
          <w:noProof/>
          <w:sz w:val="20"/>
          <w:szCs w:val="20"/>
        </w:rPr>
        <w:t xml:space="preserve"> waren</w:t>
      </w:r>
      <w:r w:rsidRPr="00CB0181">
        <w:rPr>
          <w:rFonts w:ascii="Roboto Slab" w:eastAsia="Calibri" w:hAnsi="Roboto Slab" w:cs="Times New Roman"/>
          <w:noProof/>
          <w:sz w:val="20"/>
          <w:szCs w:val="20"/>
        </w:rPr>
        <w:t>, kehrte an den M</w:t>
      </w:r>
      <w:r w:rsidRPr="00CB0181">
        <w:rPr>
          <w:rFonts w:ascii="Roboto Slab" w:eastAsia="Calibri" w:hAnsi="Roboto Slab" w:cs="Roboto Slab"/>
          <w:noProof/>
          <w:sz w:val="20"/>
          <w:szCs w:val="20"/>
        </w:rPr>
        <w:t>ä</w:t>
      </w:r>
      <w:r w:rsidRPr="00CB0181">
        <w:rPr>
          <w:rFonts w:ascii="Roboto Slab" w:eastAsia="Calibri" w:hAnsi="Roboto Slab" w:cs="Times New Roman"/>
          <w:noProof/>
          <w:sz w:val="20"/>
          <w:szCs w:val="20"/>
        </w:rPr>
        <w:t>rkten Ruhe ein, wovon insbesondere die europ</w:t>
      </w:r>
      <w:r w:rsidRPr="00CB0181">
        <w:rPr>
          <w:rFonts w:ascii="Roboto Slab" w:eastAsia="Calibri" w:hAnsi="Roboto Slab" w:cs="Roboto Slab"/>
          <w:noProof/>
          <w:sz w:val="20"/>
          <w:szCs w:val="20"/>
        </w:rPr>
        <w:t>ä</w:t>
      </w:r>
      <w:r w:rsidRPr="00CB0181">
        <w:rPr>
          <w:rFonts w:ascii="Roboto Slab" w:eastAsia="Calibri" w:hAnsi="Roboto Slab" w:cs="Times New Roman"/>
          <w:noProof/>
          <w:sz w:val="20"/>
          <w:szCs w:val="20"/>
        </w:rPr>
        <w:t xml:space="preserve">ischen Indizes profitieren konnten: Der DAX </w:t>
      </w:r>
      <w:r w:rsidR="00DA3F1F" w:rsidRPr="00CB0181">
        <w:rPr>
          <w:rFonts w:ascii="Roboto Slab" w:eastAsia="Calibri" w:hAnsi="Roboto Slab" w:cs="Times New Roman"/>
          <w:noProof/>
          <w:sz w:val="20"/>
          <w:szCs w:val="20"/>
        </w:rPr>
        <w:t>markierte</w:t>
      </w:r>
      <w:r w:rsidRPr="00CB0181">
        <w:rPr>
          <w:rFonts w:ascii="Roboto Slab" w:eastAsia="Calibri" w:hAnsi="Roboto Slab" w:cs="Times New Roman"/>
          <w:noProof/>
          <w:sz w:val="20"/>
          <w:szCs w:val="20"/>
        </w:rPr>
        <w:t xml:space="preserve"> ein </w:t>
      </w:r>
      <w:r w:rsidR="00DA3F1F" w:rsidRPr="00CB0181">
        <w:rPr>
          <w:rFonts w:ascii="Roboto Slab" w:eastAsia="Calibri" w:hAnsi="Roboto Slab" w:cs="Times New Roman"/>
          <w:noProof/>
          <w:sz w:val="20"/>
          <w:szCs w:val="20"/>
        </w:rPr>
        <w:t xml:space="preserve">neues </w:t>
      </w:r>
      <w:r w:rsidRPr="00CB0181">
        <w:rPr>
          <w:rFonts w:ascii="Roboto Slab" w:eastAsia="Calibri" w:hAnsi="Roboto Slab" w:cs="Times New Roman"/>
          <w:noProof/>
          <w:sz w:val="20"/>
          <w:szCs w:val="20"/>
        </w:rPr>
        <w:t>Allzeithoch</w:t>
      </w:r>
      <w:r w:rsidR="00DA3F1F" w:rsidRPr="00CB0181">
        <w:rPr>
          <w:rFonts w:ascii="Roboto Slab" w:eastAsia="Calibri" w:hAnsi="Roboto Slab" w:cs="Times New Roman"/>
          <w:noProof/>
          <w:sz w:val="20"/>
          <w:szCs w:val="20"/>
        </w:rPr>
        <w:t xml:space="preserve"> bei über 24.000 Punkten</w:t>
      </w:r>
      <w:r w:rsidRPr="00CB0181">
        <w:rPr>
          <w:rFonts w:ascii="Roboto Slab" w:eastAsia="Calibri" w:hAnsi="Roboto Slab" w:cs="Times New Roman"/>
          <w:noProof/>
          <w:sz w:val="20"/>
          <w:szCs w:val="20"/>
        </w:rPr>
        <w:t>, gestützt durch das wachsende Interesse internationaler Investoren an europäischen Aktien.</w:t>
      </w:r>
    </w:p>
    <w:p w14:paraId="3149FF12" w14:textId="77777777" w:rsidR="00AB7EAF" w:rsidRPr="00CB0181" w:rsidRDefault="00AB7EAF" w:rsidP="00FF1236">
      <w:pPr>
        <w:spacing w:line="240" w:lineRule="auto"/>
        <w:ind w:left="426" w:right="567"/>
        <w:rPr>
          <w:rFonts w:ascii="Roboto Slab" w:eastAsia="Calibri" w:hAnsi="Roboto Slab" w:cs="Times New Roman"/>
          <w:noProof/>
          <w:sz w:val="20"/>
          <w:szCs w:val="20"/>
        </w:rPr>
      </w:pPr>
    </w:p>
    <w:p w14:paraId="52E2A5FB" w14:textId="616DCBC8" w:rsidR="00FF1236" w:rsidRPr="00CB0181" w:rsidRDefault="00FF1236" w:rsidP="00FF1236">
      <w:pPr>
        <w:spacing w:line="240" w:lineRule="auto"/>
        <w:ind w:left="426"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Gleichzeitig verschlechterte sich die konjunkturelle Lage in den USA. Ein Rückgang des Bruttoinlandsprodukts um 0,5</w:t>
      </w:r>
      <w:r w:rsidRPr="00CB0181">
        <w:rPr>
          <w:rFonts w:ascii="Times New Roman" w:eastAsia="Calibri" w:hAnsi="Times New Roman" w:cs="Times New Roman"/>
          <w:noProof/>
          <w:sz w:val="20"/>
          <w:szCs w:val="20"/>
        </w:rPr>
        <w:t> </w:t>
      </w:r>
      <w:r w:rsidRPr="00CB0181">
        <w:rPr>
          <w:rFonts w:ascii="Roboto Slab" w:eastAsia="Calibri" w:hAnsi="Roboto Slab" w:cs="Times New Roman"/>
          <w:noProof/>
          <w:sz w:val="20"/>
          <w:szCs w:val="20"/>
        </w:rPr>
        <w:t>% im ersten Quartal spiegelte die Folgen der handelspolitischen Unsicherheit</w:t>
      </w:r>
      <w:r w:rsidR="00AB7EAF" w:rsidRPr="00CB0181">
        <w:rPr>
          <w:rFonts w:ascii="Roboto Slab" w:eastAsia="Calibri" w:hAnsi="Roboto Slab" w:cs="Times New Roman"/>
          <w:noProof/>
          <w:sz w:val="20"/>
          <w:szCs w:val="20"/>
        </w:rPr>
        <w:t>en</w:t>
      </w:r>
      <w:r w:rsidRPr="00CB0181">
        <w:rPr>
          <w:rFonts w:ascii="Roboto Slab" w:eastAsia="Calibri" w:hAnsi="Roboto Slab" w:cs="Times New Roman"/>
          <w:noProof/>
          <w:sz w:val="20"/>
          <w:szCs w:val="20"/>
        </w:rPr>
        <w:t xml:space="preserve"> wider. Zus</w:t>
      </w:r>
      <w:r w:rsidRPr="00CB0181">
        <w:rPr>
          <w:rFonts w:ascii="Roboto Slab" w:eastAsia="Calibri" w:hAnsi="Roboto Slab" w:cs="Roboto Slab"/>
          <w:noProof/>
          <w:sz w:val="20"/>
          <w:szCs w:val="20"/>
        </w:rPr>
        <w:t>ä</w:t>
      </w:r>
      <w:r w:rsidRPr="00CB0181">
        <w:rPr>
          <w:rFonts w:ascii="Roboto Slab" w:eastAsia="Calibri" w:hAnsi="Roboto Slab" w:cs="Times New Roman"/>
          <w:noProof/>
          <w:sz w:val="20"/>
          <w:szCs w:val="20"/>
        </w:rPr>
        <w:t>tzlich belasteten Abwertungen des US-Dollars sowie der Abverkauf amerikanischer Staatsanleihen, der die Renditen sp</w:t>
      </w:r>
      <w:r w:rsidRPr="00CB0181">
        <w:rPr>
          <w:rFonts w:ascii="Roboto Slab" w:eastAsia="Calibri" w:hAnsi="Roboto Slab" w:cs="Roboto Slab"/>
          <w:noProof/>
          <w:sz w:val="20"/>
          <w:szCs w:val="20"/>
        </w:rPr>
        <w:t>ü</w:t>
      </w:r>
      <w:r w:rsidRPr="00CB0181">
        <w:rPr>
          <w:rFonts w:ascii="Roboto Slab" w:eastAsia="Calibri" w:hAnsi="Roboto Slab" w:cs="Times New Roman"/>
          <w:noProof/>
          <w:sz w:val="20"/>
          <w:szCs w:val="20"/>
        </w:rPr>
        <w:t>rbar ansteigen lie</w:t>
      </w:r>
      <w:r w:rsidRPr="00CB0181">
        <w:rPr>
          <w:rFonts w:ascii="Roboto Slab" w:eastAsia="Calibri" w:hAnsi="Roboto Slab" w:cs="Roboto Slab"/>
          <w:noProof/>
          <w:sz w:val="20"/>
          <w:szCs w:val="20"/>
        </w:rPr>
        <w:t>ß</w:t>
      </w:r>
      <w:r w:rsidRPr="00CB0181">
        <w:rPr>
          <w:rFonts w:ascii="Roboto Slab" w:eastAsia="Calibri" w:hAnsi="Roboto Slab" w:cs="Times New Roman"/>
          <w:noProof/>
          <w:sz w:val="20"/>
          <w:szCs w:val="20"/>
        </w:rPr>
        <w:t>. Verst</w:t>
      </w:r>
      <w:r w:rsidRPr="00CB0181">
        <w:rPr>
          <w:rFonts w:ascii="Roboto Slab" w:eastAsia="Calibri" w:hAnsi="Roboto Slab" w:cs="Roboto Slab"/>
          <w:noProof/>
          <w:sz w:val="20"/>
          <w:szCs w:val="20"/>
        </w:rPr>
        <w:t>ä</w:t>
      </w:r>
      <w:r w:rsidRPr="00CB0181">
        <w:rPr>
          <w:rFonts w:ascii="Roboto Slab" w:eastAsia="Calibri" w:hAnsi="Roboto Slab" w:cs="Times New Roman"/>
          <w:noProof/>
          <w:sz w:val="20"/>
          <w:szCs w:val="20"/>
        </w:rPr>
        <w:t xml:space="preserve">rkt wurde diese Entwicklung durch die Herabstufung des </w:t>
      </w:r>
      <w:r w:rsidR="00AB7EAF" w:rsidRPr="00CB0181">
        <w:rPr>
          <w:rFonts w:ascii="Roboto Slab" w:eastAsia="Calibri" w:hAnsi="Roboto Slab" w:cs="Times New Roman"/>
          <w:noProof/>
          <w:sz w:val="20"/>
          <w:szCs w:val="20"/>
        </w:rPr>
        <w:t>letzten verbliebenen Top</w:t>
      </w:r>
      <w:r w:rsidRPr="00CB0181">
        <w:rPr>
          <w:rFonts w:ascii="Roboto Slab" w:eastAsia="Calibri" w:hAnsi="Roboto Slab" w:cs="Times New Roman"/>
          <w:noProof/>
          <w:sz w:val="20"/>
          <w:szCs w:val="20"/>
        </w:rPr>
        <w:t xml:space="preserve">-Kreditratings </w:t>
      </w:r>
      <w:r w:rsidR="00AB7EAF" w:rsidRPr="00CB0181">
        <w:rPr>
          <w:rFonts w:ascii="Roboto Slab" w:eastAsia="Calibri" w:hAnsi="Roboto Slab" w:cs="Times New Roman"/>
          <w:noProof/>
          <w:sz w:val="20"/>
          <w:szCs w:val="20"/>
        </w:rPr>
        <w:t xml:space="preserve">für die USA </w:t>
      </w:r>
      <w:r w:rsidRPr="00CB0181">
        <w:rPr>
          <w:rFonts w:ascii="Roboto Slab" w:eastAsia="Calibri" w:hAnsi="Roboto Slab" w:cs="Times New Roman"/>
          <w:noProof/>
          <w:sz w:val="20"/>
          <w:szCs w:val="20"/>
        </w:rPr>
        <w:t>durch die Ratingagentur</w:t>
      </w:r>
      <w:r w:rsidR="00A10415" w:rsidRPr="00CB0181">
        <w:rPr>
          <w:rFonts w:ascii="Roboto Slab" w:eastAsia="Calibri" w:hAnsi="Roboto Slab" w:cs="Times New Roman"/>
          <w:noProof/>
          <w:sz w:val="20"/>
          <w:szCs w:val="20"/>
        </w:rPr>
        <w:t xml:space="preserve"> Moody</w:t>
      </w:r>
      <w:r w:rsidR="00AB7EAF" w:rsidRPr="00CB0181">
        <w:rPr>
          <w:rFonts w:ascii="Roboto Slab" w:eastAsia="Calibri" w:hAnsi="Roboto Slab" w:cs="Times New Roman"/>
          <w:noProof/>
          <w:sz w:val="20"/>
          <w:szCs w:val="20"/>
        </w:rPr>
        <w:t>’</w:t>
      </w:r>
      <w:r w:rsidR="00A10415" w:rsidRPr="00CB0181">
        <w:rPr>
          <w:rFonts w:ascii="Roboto Slab" w:eastAsia="Calibri" w:hAnsi="Roboto Slab" w:cs="Times New Roman"/>
          <w:noProof/>
          <w:sz w:val="20"/>
          <w:szCs w:val="20"/>
        </w:rPr>
        <w:t>s</w:t>
      </w:r>
      <w:r w:rsidRPr="00CB0181">
        <w:rPr>
          <w:rFonts w:ascii="Roboto Slab" w:eastAsia="Calibri" w:hAnsi="Roboto Slab" w:cs="Times New Roman"/>
          <w:noProof/>
          <w:sz w:val="20"/>
          <w:szCs w:val="20"/>
        </w:rPr>
        <w:t>.</w:t>
      </w:r>
    </w:p>
    <w:p w14:paraId="3D838ED1" w14:textId="77777777" w:rsidR="00AB7EAF" w:rsidRPr="00CB0181" w:rsidRDefault="00AB7EAF" w:rsidP="00FF1236">
      <w:pPr>
        <w:spacing w:line="240" w:lineRule="auto"/>
        <w:ind w:left="426" w:right="567"/>
        <w:rPr>
          <w:rFonts w:ascii="Roboto Slab" w:eastAsia="Calibri" w:hAnsi="Roboto Slab" w:cs="Times New Roman"/>
          <w:noProof/>
          <w:sz w:val="20"/>
          <w:szCs w:val="20"/>
        </w:rPr>
      </w:pPr>
    </w:p>
    <w:p w14:paraId="5C06621A" w14:textId="5D89D820" w:rsidR="00FF1236" w:rsidRPr="00CB0181" w:rsidRDefault="00AB7EAF" w:rsidP="00FF1236">
      <w:pPr>
        <w:spacing w:line="240" w:lineRule="auto"/>
        <w:ind w:left="426"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 xml:space="preserve">Diesseits des Atlantiks </w:t>
      </w:r>
      <w:r w:rsidR="00FF1236" w:rsidRPr="00CB0181">
        <w:rPr>
          <w:rFonts w:ascii="Roboto Slab" w:eastAsia="Calibri" w:hAnsi="Roboto Slab" w:cs="Times New Roman"/>
          <w:noProof/>
          <w:sz w:val="20"/>
          <w:szCs w:val="20"/>
        </w:rPr>
        <w:t>präsentierte sich die deutsche Wirtschaft überraschend robust: Ein Wachstum des BI</w:t>
      </w:r>
      <w:r w:rsidR="00C96B36" w:rsidRPr="00CB0181">
        <w:rPr>
          <w:rFonts w:ascii="Roboto Slab" w:eastAsia="Calibri" w:hAnsi="Roboto Slab" w:cs="Times New Roman"/>
          <w:noProof/>
          <w:sz w:val="20"/>
          <w:szCs w:val="20"/>
        </w:rPr>
        <w:t>P</w:t>
      </w:r>
      <w:r w:rsidR="00A10415" w:rsidRPr="00CB0181">
        <w:rPr>
          <w:rFonts w:ascii="Roboto Slab" w:eastAsia="Calibri" w:hAnsi="Roboto Slab" w:cs="Times New Roman"/>
          <w:noProof/>
          <w:sz w:val="20"/>
          <w:szCs w:val="20"/>
        </w:rPr>
        <w:t xml:space="preserve"> von +0,4</w:t>
      </w:r>
      <w:r w:rsidR="00F37253" w:rsidRPr="00CB0181">
        <w:rPr>
          <w:rFonts w:ascii="Times New Roman" w:eastAsia="Calibri" w:hAnsi="Times New Roman" w:cs="Times New Roman"/>
          <w:noProof/>
          <w:sz w:val="20"/>
          <w:szCs w:val="20"/>
        </w:rPr>
        <w:t> </w:t>
      </w:r>
      <w:r w:rsidR="00A10415" w:rsidRPr="00CB0181">
        <w:rPr>
          <w:rFonts w:ascii="Roboto Slab" w:eastAsia="Calibri" w:hAnsi="Roboto Slab" w:cs="Times New Roman"/>
          <w:noProof/>
          <w:sz w:val="20"/>
          <w:szCs w:val="20"/>
        </w:rPr>
        <w:t xml:space="preserve">% </w:t>
      </w:r>
      <w:r w:rsidRPr="00CB0181">
        <w:rPr>
          <w:rFonts w:ascii="Roboto Slab" w:eastAsia="Calibri" w:hAnsi="Roboto Slab" w:cs="Times New Roman"/>
          <w:noProof/>
          <w:sz w:val="20"/>
          <w:szCs w:val="20"/>
        </w:rPr>
        <w:t>im ersten Quartal</w:t>
      </w:r>
      <w:r w:rsidR="00FF1236" w:rsidRPr="00CB0181">
        <w:rPr>
          <w:rFonts w:ascii="Roboto Slab" w:eastAsia="Calibri" w:hAnsi="Roboto Slab" w:cs="Times New Roman"/>
          <w:noProof/>
          <w:sz w:val="20"/>
          <w:szCs w:val="20"/>
        </w:rPr>
        <w:t xml:space="preserve">, eine weiter sinkende Inflation sowie die erneute Senkung des EZB-Leitzinses auf </w:t>
      </w:r>
      <w:r w:rsidRPr="00CB0181">
        <w:rPr>
          <w:rFonts w:ascii="Roboto Slab" w:eastAsia="Calibri" w:hAnsi="Roboto Slab" w:cs="Times New Roman"/>
          <w:noProof/>
          <w:sz w:val="20"/>
          <w:szCs w:val="20"/>
        </w:rPr>
        <w:t xml:space="preserve">aktuell </w:t>
      </w:r>
      <w:r w:rsidR="00A10415" w:rsidRPr="00CB0181">
        <w:rPr>
          <w:rFonts w:ascii="Roboto Slab" w:eastAsia="Calibri" w:hAnsi="Roboto Slab" w:cs="Times New Roman"/>
          <w:noProof/>
          <w:sz w:val="20"/>
          <w:szCs w:val="20"/>
        </w:rPr>
        <w:t>2</w:t>
      </w:r>
      <w:r w:rsidR="00F37253" w:rsidRPr="00CB0181">
        <w:rPr>
          <w:rFonts w:ascii="Times New Roman" w:eastAsia="Calibri" w:hAnsi="Times New Roman" w:cs="Times New Roman"/>
          <w:noProof/>
          <w:sz w:val="20"/>
          <w:szCs w:val="20"/>
        </w:rPr>
        <w:t> </w:t>
      </w:r>
      <w:r w:rsidR="00A10415" w:rsidRPr="00CB0181">
        <w:rPr>
          <w:rFonts w:ascii="Roboto Slab" w:eastAsia="Calibri" w:hAnsi="Roboto Slab" w:cs="Times New Roman"/>
          <w:noProof/>
          <w:sz w:val="20"/>
          <w:szCs w:val="20"/>
        </w:rPr>
        <w:t xml:space="preserve">% </w:t>
      </w:r>
      <w:r w:rsidR="00FF1236" w:rsidRPr="00CB0181">
        <w:rPr>
          <w:rFonts w:ascii="Roboto Slab" w:eastAsia="Calibri" w:hAnsi="Roboto Slab" w:cs="Times New Roman"/>
          <w:noProof/>
          <w:sz w:val="20"/>
          <w:szCs w:val="20"/>
        </w:rPr>
        <w:t>sorgten f</w:t>
      </w:r>
      <w:r w:rsidR="00FF1236" w:rsidRPr="00CB0181">
        <w:rPr>
          <w:rFonts w:ascii="Roboto Slab" w:eastAsia="Calibri" w:hAnsi="Roboto Slab" w:cs="Roboto Slab"/>
          <w:noProof/>
          <w:sz w:val="20"/>
          <w:szCs w:val="20"/>
        </w:rPr>
        <w:t>ü</w:t>
      </w:r>
      <w:r w:rsidR="00FF1236" w:rsidRPr="00CB0181">
        <w:rPr>
          <w:rFonts w:ascii="Roboto Slab" w:eastAsia="Calibri" w:hAnsi="Roboto Slab" w:cs="Times New Roman"/>
          <w:noProof/>
          <w:sz w:val="20"/>
          <w:szCs w:val="20"/>
        </w:rPr>
        <w:t xml:space="preserve">r </w:t>
      </w:r>
      <w:r w:rsidR="00F2323C" w:rsidRPr="00CB0181">
        <w:rPr>
          <w:rFonts w:ascii="Roboto Slab" w:eastAsia="Calibri" w:hAnsi="Roboto Slab" w:cs="Times New Roman"/>
          <w:noProof/>
          <w:sz w:val="20"/>
          <w:szCs w:val="20"/>
        </w:rPr>
        <w:t>ein positives Bild.</w:t>
      </w:r>
    </w:p>
    <w:p w14:paraId="2C4CA264" w14:textId="77777777" w:rsidR="00AB7EAF" w:rsidRPr="00CB0181" w:rsidRDefault="00AB7EAF" w:rsidP="00FF1236">
      <w:pPr>
        <w:spacing w:line="240" w:lineRule="auto"/>
        <w:ind w:left="426" w:right="567"/>
        <w:rPr>
          <w:rFonts w:ascii="Roboto Slab" w:eastAsia="Calibri" w:hAnsi="Roboto Slab" w:cs="Times New Roman"/>
          <w:noProof/>
          <w:sz w:val="20"/>
          <w:szCs w:val="20"/>
        </w:rPr>
      </w:pPr>
    </w:p>
    <w:p w14:paraId="4E75EB73" w14:textId="77777777" w:rsidR="00B81D22" w:rsidRDefault="00FF1236" w:rsidP="00B81D22">
      <w:pPr>
        <w:spacing w:line="240" w:lineRule="auto"/>
        <w:ind w:left="426"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 xml:space="preserve">Abgerundet wurde das Quartal von einem kurzen, aber markanten geopolitischen Schock: Die Angriffe Israels </w:t>
      </w:r>
      <w:r w:rsidR="00A10415" w:rsidRPr="00CB0181">
        <w:rPr>
          <w:rFonts w:ascii="Roboto Slab" w:eastAsia="Calibri" w:hAnsi="Roboto Slab" w:cs="Times New Roman"/>
          <w:noProof/>
          <w:sz w:val="20"/>
          <w:szCs w:val="20"/>
        </w:rPr>
        <w:t xml:space="preserve">und der USA </w:t>
      </w:r>
      <w:r w:rsidRPr="00CB0181">
        <w:rPr>
          <w:rFonts w:ascii="Roboto Slab" w:eastAsia="Calibri" w:hAnsi="Roboto Slab" w:cs="Times New Roman"/>
          <w:noProof/>
          <w:sz w:val="20"/>
          <w:szCs w:val="20"/>
        </w:rPr>
        <w:t>auf iranische Atomanlagen führten zunächst zu steigenden Öl- und Goldpreisen, ehe eine rasch vermittelte Waffenruhe für Entspannung sorgte</w:t>
      </w:r>
      <w:r w:rsidR="00F2323C" w:rsidRPr="00CB0181">
        <w:rPr>
          <w:rFonts w:ascii="Roboto Slab" w:eastAsia="Calibri" w:hAnsi="Roboto Slab" w:cs="Times New Roman"/>
          <w:noProof/>
          <w:sz w:val="20"/>
          <w:szCs w:val="20"/>
        </w:rPr>
        <w:t>.</w:t>
      </w:r>
    </w:p>
    <w:p w14:paraId="69618D49" w14:textId="77777777" w:rsidR="00B81D22" w:rsidRDefault="00B81D22" w:rsidP="00B81D22">
      <w:pPr>
        <w:spacing w:line="240" w:lineRule="auto"/>
        <w:ind w:left="426" w:right="567"/>
        <w:rPr>
          <w:rFonts w:ascii="Roboto Slab" w:eastAsia="Calibri" w:hAnsi="Roboto Slab" w:cs="Times New Roman"/>
          <w:noProof/>
          <w:sz w:val="20"/>
          <w:szCs w:val="20"/>
        </w:rPr>
      </w:pPr>
    </w:p>
    <w:p w14:paraId="732632AA" w14:textId="77777777" w:rsidR="00B81D22" w:rsidRDefault="00B81D22" w:rsidP="00B81D22">
      <w:pPr>
        <w:spacing w:line="240" w:lineRule="auto"/>
        <w:ind w:left="426" w:right="567"/>
        <w:rPr>
          <w:rFonts w:ascii="Roboto Slab" w:eastAsia="Calibri" w:hAnsi="Roboto Slab" w:cs="Times New Roman"/>
          <w:noProof/>
          <w:sz w:val="20"/>
          <w:szCs w:val="20"/>
        </w:rPr>
      </w:pPr>
    </w:p>
    <w:p w14:paraId="58AE2371" w14:textId="77777777" w:rsidR="00B81D22" w:rsidRDefault="00B81D22" w:rsidP="00B81D22">
      <w:pPr>
        <w:spacing w:line="240" w:lineRule="auto"/>
        <w:ind w:left="426" w:right="567"/>
        <w:rPr>
          <w:rFonts w:ascii="Roboto Slab" w:eastAsia="Calibri" w:hAnsi="Roboto Slab" w:cs="Times New Roman"/>
          <w:noProof/>
          <w:sz w:val="20"/>
          <w:szCs w:val="20"/>
        </w:rPr>
      </w:pPr>
    </w:p>
    <w:p w14:paraId="1C1EA9F6" w14:textId="1B729F8B" w:rsidR="007A01AC" w:rsidRDefault="007A01AC" w:rsidP="00B81D22">
      <w:pPr>
        <w:spacing w:line="240" w:lineRule="auto"/>
        <w:ind w:left="426" w:right="567"/>
        <w:rPr>
          <w:rFonts w:ascii="Roboto Slab" w:eastAsia="Calibri" w:hAnsi="Roboto Slab" w:cs="Times New Roman"/>
          <w:b/>
          <w:bCs/>
          <w:noProof/>
          <w:sz w:val="20"/>
          <w:szCs w:val="20"/>
        </w:rPr>
      </w:pPr>
      <w:r w:rsidRPr="00CB0181">
        <w:rPr>
          <w:rFonts w:ascii="Roboto Slab" w:eastAsia="Calibri" w:hAnsi="Roboto Slab" w:cs="Times New Roman"/>
          <w:b/>
          <w:bCs/>
          <w:noProof/>
          <w:sz w:val="20"/>
          <w:szCs w:val="20"/>
        </w:rPr>
        <w:t>Entwicklung an den Kapitalmärkten</w:t>
      </w:r>
    </w:p>
    <w:p w14:paraId="2E88FC45" w14:textId="77777777" w:rsidR="00B81D22" w:rsidRPr="00B81D22" w:rsidRDefault="00B81D22" w:rsidP="00B81D22">
      <w:pPr>
        <w:spacing w:line="240" w:lineRule="auto"/>
        <w:ind w:left="426" w:right="567"/>
        <w:rPr>
          <w:rFonts w:ascii="Roboto Slab" w:eastAsia="Calibri" w:hAnsi="Roboto Slab" w:cs="Times New Roman"/>
          <w:noProof/>
          <w:sz w:val="20"/>
          <w:szCs w:val="20"/>
        </w:rPr>
      </w:pPr>
    </w:p>
    <w:p w14:paraId="0B35F465" w14:textId="0E5A40C5" w:rsidR="00F53ADE" w:rsidRPr="00CB0181" w:rsidRDefault="00F53ADE" w:rsidP="00F53ADE">
      <w:pPr>
        <w:spacing w:line="240" w:lineRule="auto"/>
        <w:ind w:left="426"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Das zweite Quartal 2025 war in besonderem Maße von handelspolitischen Spannungen geprägt, die zeitweise erhebliche Auswirkungen auf die internationalen Kapitalmärkte zu</w:t>
      </w:r>
      <w:r w:rsidR="00F37253" w:rsidRPr="00CB0181">
        <w:rPr>
          <w:rFonts w:ascii="Roboto Slab" w:eastAsia="Calibri" w:hAnsi="Roboto Slab" w:cs="Times New Roman"/>
          <w:noProof/>
          <w:sz w:val="20"/>
          <w:szCs w:val="20"/>
        </w:rPr>
        <w:t>r F</w:t>
      </w:r>
      <w:r w:rsidRPr="00CB0181">
        <w:rPr>
          <w:rFonts w:ascii="Roboto Slab" w:eastAsia="Calibri" w:hAnsi="Roboto Slab" w:cs="Times New Roman"/>
          <w:noProof/>
          <w:sz w:val="20"/>
          <w:szCs w:val="20"/>
        </w:rPr>
        <w:t>olge hatten. Anfang April kündigte US</w:t>
      </w:r>
      <w:r w:rsidRPr="00CB0181">
        <w:rPr>
          <w:rFonts w:ascii="Cambria Math" w:eastAsia="Calibri" w:hAnsi="Cambria Math" w:cs="Cambria Math"/>
          <w:noProof/>
          <w:sz w:val="20"/>
          <w:szCs w:val="20"/>
        </w:rPr>
        <w:t>‑</w:t>
      </w:r>
      <w:r w:rsidRPr="00CB0181">
        <w:rPr>
          <w:rFonts w:ascii="Roboto Slab" w:eastAsia="Calibri" w:hAnsi="Roboto Slab" w:cs="Times New Roman"/>
          <w:noProof/>
          <w:sz w:val="20"/>
          <w:szCs w:val="20"/>
        </w:rPr>
        <w:t xml:space="preserve">Präsident Trump am sogenannten „Liberation Day“ weitreichende Strafzölle auf Importe aus nahezu allen </w:t>
      </w:r>
      <w:r w:rsidR="00F37253" w:rsidRPr="00CB0181">
        <w:rPr>
          <w:rFonts w:ascii="Roboto Slab" w:eastAsia="Calibri" w:hAnsi="Roboto Slab" w:cs="Times New Roman"/>
          <w:noProof/>
          <w:sz w:val="20"/>
          <w:szCs w:val="20"/>
        </w:rPr>
        <w:t xml:space="preserve">Regionen der Welt </w:t>
      </w:r>
      <w:r w:rsidRPr="00CB0181">
        <w:rPr>
          <w:rFonts w:ascii="Roboto Slab" w:eastAsia="Calibri" w:hAnsi="Roboto Slab" w:cs="Times New Roman"/>
          <w:noProof/>
          <w:sz w:val="20"/>
          <w:szCs w:val="20"/>
        </w:rPr>
        <w:t xml:space="preserve">an. Konkret waren Einfuhren aus der Europäischen Union mit Abgaben in Höhe von </w:t>
      </w:r>
      <w:r w:rsidR="00BE33BF" w:rsidRPr="00CB0181">
        <w:rPr>
          <w:rFonts w:ascii="Roboto Slab" w:eastAsia="Calibri" w:hAnsi="Roboto Slab" w:cs="Times New Roman"/>
          <w:noProof/>
          <w:sz w:val="20"/>
          <w:szCs w:val="20"/>
        </w:rPr>
        <w:t xml:space="preserve">mindestens </w:t>
      </w:r>
      <w:r w:rsidRPr="00CB0181">
        <w:rPr>
          <w:rFonts w:ascii="Roboto Slab" w:eastAsia="Calibri" w:hAnsi="Roboto Slab" w:cs="Times New Roman"/>
          <w:noProof/>
          <w:sz w:val="20"/>
          <w:szCs w:val="20"/>
        </w:rPr>
        <w:t>20</w:t>
      </w:r>
      <w:r w:rsidRPr="00CB0181">
        <w:rPr>
          <w:rFonts w:ascii="Times New Roman" w:eastAsia="Calibri" w:hAnsi="Times New Roman" w:cs="Times New Roman"/>
          <w:noProof/>
          <w:sz w:val="20"/>
          <w:szCs w:val="20"/>
        </w:rPr>
        <w:t> </w:t>
      </w:r>
      <w:r w:rsidRPr="00CB0181">
        <w:rPr>
          <w:rFonts w:ascii="Roboto Slab" w:eastAsia="Calibri" w:hAnsi="Roboto Slab" w:cs="Times New Roman"/>
          <w:noProof/>
          <w:sz w:val="20"/>
          <w:szCs w:val="20"/>
        </w:rPr>
        <w:t xml:space="preserve">% betroffen, auf chinesische Waren </w:t>
      </w:r>
      <w:r w:rsidR="00F37253" w:rsidRPr="00CB0181">
        <w:rPr>
          <w:rFonts w:ascii="Roboto Slab" w:eastAsia="Calibri" w:hAnsi="Roboto Slab" w:cs="Times New Roman"/>
          <w:noProof/>
          <w:sz w:val="20"/>
          <w:szCs w:val="20"/>
        </w:rPr>
        <w:t xml:space="preserve">sollten </w:t>
      </w:r>
      <w:r w:rsidRPr="00CB0181">
        <w:rPr>
          <w:rFonts w:ascii="Roboto Slab" w:eastAsia="Calibri" w:hAnsi="Roboto Slab" w:cs="Times New Roman"/>
          <w:noProof/>
          <w:sz w:val="20"/>
          <w:szCs w:val="20"/>
        </w:rPr>
        <w:t>Zölle von 34</w:t>
      </w:r>
      <w:r w:rsidRPr="00CB0181">
        <w:rPr>
          <w:rFonts w:ascii="Times New Roman" w:eastAsia="Calibri" w:hAnsi="Times New Roman" w:cs="Times New Roman"/>
          <w:noProof/>
          <w:sz w:val="20"/>
          <w:szCs w:val="20"/>
        </w:rPr>
        <w:t> </w:t>
      </w:r>
      <w:r w:rsidRPr="00CB0181">
        <w:rPr>
          <w:rFonts w:ascii="Roboto Slab" w:eastAsia="Calibri" w:hAnsi="Roboto Slab" w:cs="Times New Roman"/>
          <w:noProof/>
          <w:sz w:val="20"/>
          <w:szCs w:val="20"/>
        </w:rPr>
        <w:t xml:space="preserve">% erhoben werden. Andere Handelspartner waren zum Teil noch höheren Belastungen ausgesetzt. In der Folge entwickelte sich ein Zollkonflikt: Sowohl die EU als auch China reagierten mit Gegenzöllen. </w:t>
      </w:r>
      <w:r w:rsidR="00F37253" w:rsidRPr="00CB0181">
        <w:rPr>
          <w:rFonts w:ascii="Roboto Slab" w:eastAsia="Calibri" w:hAnsi="Roboto Slab" w:cs="Times New Roman"/>
          <w:noProof/>
          <w:sz w:val="20"/>
          <w:szCs w:val="20"/>
        </w:rPr>
        <w:t>D</w:t>
      </w:r>
      <w:r w:rsidRPr="00CB0181">
        <w:rPr>
          <w:rFonts w:ascii="Roboto Slab" w:eastAsia="Calibri" w:hAnsi="Roboto Slab" w:cs="Times New Roman"/>
          <w:noProof/>
          <w:sz w:val="20"/>
          <w:szCs w:val="20"/>
        </w:rPr>
        <w:t xml:space="preserve">ie wechselseitig verhängten Zölle </w:t>
      </w:r>
      <w:r w:rsidR="00F37253" w:rsidRPr="00CB0181">
        <w:rPr>
          <w:rFonts w:ascii="Roboto Slab" w:eastAsia="Calibri" w:hAnsi="Roboto Slab" w:cs="Times New Roman"/>
          <w:noProof/>
          <w:sz w:val="20"/>
          <w:szCs w:val="20"/>
        </w:rPr>
        <w:t xml:space="preserve">schaukelten sich immer </w:t>
      </w:r>
      <w:r w:rsidR="00F37253" w:rsidRPr="00CB0181">
        <w:rPr>
          <w:rFonts w:ascii="Roboto Slab" w:eastAsia="Calibri" w:hAnsi="Roboto Slab" w:cs="Times New Roman"/>
          <w:noProof/>
          <w:sz w:val="20"/>
          <w:szCs w:val="20"/>
        </w:rPr>
        <w:lastRenderedPageBreak/>
        <w:t>weiter auf</w:t>
      </w:r>
      <w:r w:rsidR="00362843" w:rsidRPr="00CB0181">
        <w:rPr>
          <w:rFonts w:ascii="Roboto Slab" w:eastAsia="Calibri" w:hAnsi="Roboto Slab" w:cs="Times New Roman"/>
          <w:noProof/>
          <w:sz w:val="20"/>
          <w:szCs w:val="20"/>
        </w:rPr>
        <w:t xml:space="preserve"> – </w:t>
      </w:r>
      <w:r w:rsidRPr="00CB0181">
        <w:rPr>
          <w:rFonts w:ascii="Roboto Slab" w:eastAsia="Calibri" w:hAnsi="Roboto Slab" w:cs="Times New Roman"/>
          <w:noProof/>
          <w:sz w:val="20"/>
          <w:szCs w:val="20"/>
        </w:rPr>
        <w:t xml:space="preserve">zwischen den USA und China auf </w:t>
      </w:r>
      <w:r w:rsidR="00BE33BF" w:rsidRPr="00CB0181">
        <w:rPr>
          <w:rFonts w:ascii="Roboto Slab" w:eastAsia="Calibri" w:hAnsi="Roboto Slab" w:cs="Times New Roman"/>
          <w:noProof/>
          <w:sz w:val="20"/>
          <w:szCs w:val="20"/>
        </w:rPr>
        <w:t xml:space="preserve">bis zu </w:t>
      </w:r>
      <w:r w:rsidRPr="00CB0181">
        <w:rPr>
          <w:rFonts w:ascii="Roboto Slab" w:eastAsia="Calibri" w:hAnsi="Roboto Slab" w:cs="Times New Roman"/>
          <w:noProof/>
          <w:sz w:val="20"/>
          <w:szCs w:val="20"/>
        </w:rPr>
        <w:t>1</w:t>
      </w:r>
      <w:r w:rsidR="00BE33BF" w:rsidRPr="00CB0181">
        <w:rPr>
          <w:rFonts w:ascii="Roboto Slab" w:eastAsia="Calibri" w:hAnsi="Roboto Slab" w:cs="Times New Roman"/>
          <w:noProof/>
          <w:sz w:val="20"/>
          <w:szCs w:val="20"/>
        </w:rPr>
        <w:t>45</w:t>
      </w:r>
      <w:r w:rsidRPr="00CB0181">
        <w:rPr>
          <w:rFonts w:ascii="Times New Roman" w:eastAsia="Calibri" w:hAnsi="Times New Roman" w:cs="Times New Roman"/>
          <w:noProof/>
          <w:sz w:val="20"/>
          <w:szCs w:val="20"/>
        </w:rPr>
        <w:t> </w:t>
      </w:r>
      <w:r w:rsidRPr="00CB0181">
        <w:rPr>
          <w:rFonts w:ascii="Roboto Slab" w:eastAsia="Calibri" w:hAnsi="Roboto Slab" w:cs="Times New Roman"/>
          <w:noProof/>
          <w:sz w:val="20"/>
          <w:szCs w:val="20"/>
        </w:rPr>
        <w:t>%</w:t>
      </w:r>
      <w:r w:rsidR="00362843" w:rsidRPr="00CB0181">
        <w:rPr>
          <w:rFonts w:ascii="Roboto Slab" w:eastAsia="Calibri" w:hAnsi="Roboto Slab" w:cs="Times New Roman"/>
          <w:noProof/>
          <w:sz w:val="20"/>
          <w:szCs w:val="20"/>
        </w:rPr>
        <w:t xml:space="preserve"> –</w:t>
      </w:r>
      <w:r w:rsidRPr="00CB0181">
        <w:rPr>
          <w:rFonts w:ascii="Roboto Slab" w:eastAsia="Calibri" w:hAnsi="Roboto Slab" w:cs="Times New Roman"/>
          <w:noProof/>
          <w:sz w:val="20"/>
          <w:szCs w:val="20"/>
        </w:rPr>
        <w:t>, wodurch sich der Handelskonflikt erheblich zuspitzte.</w:t>
      </w:r>
    </w:p>
    <w:p w14:paraId="286942CB" w14:textId="77777777" w:rsidR="00362843" w:rsidRPr="00CB0181" w:rsidRDefault="00362843" w:rsidP="00F53ADE">
      <w:pPr>
        <w:spacing w:line="240" w:lineRule="auto"/>
        <w:ind w:left="426" w:right="567"/>
        <w:rPr>
          <w:rFonts w:ascii="Roboto Slab" w:eastAsia="Calibri" w:hAnsi="Roboto Slab" w:cs="Times New Roman"/>
          <w:noProof/>
          <w:sz w:val="20"/>
          <w:szCs w:val="20"/>
        </w:rPr>
      </w:pPr>
    </w:p>
    <w:p w14:paraId="2FED845C" w14:textId="3D5C91DC" w:rsidR="00F53ADE" w:rsidRPr="00CB0181" w:rsidRDefault="00F53ADE" w:rsidP="00F53ADE">
      <w:pPr>
        <w:spacing w:line="240" w:lineRule="auto"/>
        <w:ind w:left="426"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 xml:space="preserve">Diese Eskalation führte zunächst zu deutlichen Kursverlusten an den internationalen Aktienmärkten. Mitte April </w:t>
      </w:r>
      <w:r w:rsidR="00362843" w:rsidRPr="00CB0181">
        <w:rPr>
          <w:rFonts w:ascii="Roboto Slab" w:eastAsia="Calibri" w:hAnsi="Roboto Slab" w:cs="Times New Roman"/>
          <w:noProof/>
          <w:sz w:val="20"/>
          <w:szCs w:val="20"/>
        </w:rPr>
        <w:t>setzte</w:t>
      </w:r>
      <w:r w:rsidRPr="00CB0181">
        <w:rPr>
          <w:rFonts w:ascii="Roboto Slab" w:eastAsia="Calibri" w:hAnsi="Roboto Slab" w:cs="Times New Roman"/>
          <w:noProof/>
          <w:sz w:val="20"/>
          <w:szCs w:val="20"/>
        </w:rPr>
        <w:t xml:space="preserve"> jedoch eine spürbare Entspannung</w:t>
      </w:r>
      <w:r w:rsidR="00362843" w:rsidRPr="00CB0181">
        <w:rPr>
          <w:rFonts w:ascii="Roboto Slab" w:eastAsia="Calibri" w:hAnsi="Roboto Slab" w:cs="Times New Roman"/>
          <w:noProof/>
          <w:sz w:val="20"/>
          <w:szCs w:val="20"/>
        </w:rPr>
        <w:t xml:space="preserve"> ein</w:t>
      </w:r>
      <w:r w:rsidRPr="00CB0181">
        <w:rPr>
          <w:rFonts w:ascii="Roboto Slab" w:eastAsia="Calibri" w:hAnsi="Roboto Slab" w:cs="Times New Roman"/>
          <w:noProof/>
          <w:sz w:val="20"/>
          <w:szCs w:val="20"/>
        </w:rPr>
        <w:t>, als die US</w:t>
      </w:r>
      <w:r w:rsidRPr="00CB0181">
        <w:rPr>
          <w:rFonts w:ascii="Cambria Math" w:eastAsia="Calibri" w:hAnsi="Cambria Math" w:cs="Cambria Math"/>
          <w:noProof/>
          <w:sz w:val="20"/>
          <w:szCs w:val="20"/>
        </w:rPr>
        <w:t>‑</w:t>
      </w:r>
      <w:r w:rsidRPr="00CB0181">
        <w:rPr>
          <w:rFonts w:ascii="Roboto Slab" w:eastAsia="Calibri" w:hAnsi="Roboto Slab" w:cs="Times New Roman"/>
          <w:noProof/>
          <w:sz w:val="20"/>
          <w:szCs w:val="20"/>
        </w:rPr>
        <w:t>Regierung ankündigte, die Einführung eines Teils der Strafzölle zu verschieben. Die Kapitalmärkte reagierten mit einer Gegenbewegung</w:t>
      </w:r>
      <w:r w:rsidR="00287156" w:rsidRPr="00CB0181">
        <w:rPr>
          <w:rFonts w:ascii="Roboto Slab" w:eastAsia="Calibri" w:hAnsi="Roboto Slab" w:cs="Times New Roman"/>
          <w:noProof/>
          <w:sz w:val="20"/>
          <w:szCs w:val="20"/>
        </w:rPr>
        <w:t xml:space="preserve"> und ließen</w:t>
      </w:r>
      <w:r w:rsidRPr="00CB0181">
        <w:rPr>
          <w:rFonts w:ascii="Roboto Slab" w:eastAsia="Calibri" w:hAnsi="Roboto Slab" w:cs="Times New Roman"/>
          <w:noProof/>
          <w:sz w:val="20"/>
          <w:szCs w:val="20"/>
        </w:rPr>
        <w:t xml:space="preserve"> </w:t>
      </w:r>
      <w:r w:rsidR="00287156" w:rsidRPr="00CB0181">
        <w:rPr>
          <w:rFonts w:ascii="Roboto Slab" w:eastAsia="Calibri" w:hAnsi="Roboto Slab" w:cs="Times New Roman"/>
          <w:noProof/>
          <w:sz w:val="20"/>
          <w:szCs w:val="20"/>
        </w:rPr>
        <w:t>i</w:t>
      </w:r>
      <w:r w:rsidRPr="00CB0181">
        <w:rPr>
          <w:rFonts w:ascii="Roboto Slab" w:eastAsia="Calibri" w:hAnsi="Roboto Slab" w:cs="Times New Roman"/>
          <w:noProof/>
          <w:sz w:val="20"/>
          <w:szCs w:val="20"/>
        </w:rPr>
        <w:t>nsbesondere europäische Indizes wie de</w:t>
      </w:r>
      <w:r w:rsidR="00287156" w:rsidRPr="00CB0181">
        <w:rPr>
          <w:rFonts w:ascii="Roboto Slab" w:eastAsia="Calibri" w:hAnsi="Roboto Slab" w:cs="Times New Roman"/>
          <w:noProof/>
          <w:sz w:val="20"/>
          <w:szCs w:val="20"/>
        </w:rPr>
        <w:t>n</w:t>
      </w:r>
      <w:r w:rsidRPr="00CB0181">
        <w:rPr>
          <w:rFonts w:ascii="Roboto Slab" w:eastAsia="Calibri" w:hAnsi="Roboto Slab" w:cs="Times New Roman"/>
          <w:noProof/>
          <w:sz w:val="20"/>
          <w:szCs w:val="20"/>
        </w:rPr>
        <w:t xml:space="preserve"> DAX </w:t>
      </w:r>
      <w:r w:rsidR="00287156" w:rsidRPr="00CB0181">
        <w:rPr>
          <w:rFonts w:ascii="Roboto Slab" w:eastAsia="Calibri" w:hAnsi="Roboto Slab" w:cs="Times New Roman"/>
          <w:noProof/>
          <w:sz w:val="20"/>
          <w:szCs w:val="20"/>
        </w:rPr>
        <w:t xml:space="preserve">merklich </w:t>
      </w:r>
      <w:r w:rsidRPr="00CB0181">
        <w:rPr>
          <w:rFonts w:ascii="Roboto Slab" w:eastAsia="Calibri" w:hAnsi="Roboto Slab" w:cs="Times New Roman"/>
          <w:noProof/>
          <w:sz w:val="20"/>
          <w:szCs w:val="20"/>
        </w:rPr>
        <w:t>profitieren, da Europa stärker in den Fokus internationaler Investoren rückte</w:t>
      </w:r>
      <w:r w:rsidR="00BE33BF" w:rsidRPr="00CB0181">
        <w:rPr>
          <w:rFonts w:ascii="Roboto Slab" w:eastAsia="Calibri" w:hAnsi="Roboto Slab" w:cs="Times New Roman"/>
          <w:noProof/>
          <w:sz w:val="20"/>
          <w:szCs w:val="20"/>
        </w:rPr>
        <w:t xml:space="preserve">, getrieben durch </w:t>
      </w:r>
      <w:r w:rsidR="00155156" w:rsidRPr="00CB0181">
        <w:rPr>
          <w:rFonts w:ascii="Roboto Slab" w:eastAsia="Calibri" w:hAnsi="Roboto Slab" w:cs="Times New Roman"/>
          <w:noProof/>
          <w:sz w:val="20"/>
          <w:szCs w:val="20"/>
        </w:rPr>
        <w:t xml:space="preserve">die Herabstufung des US-Kreditratings und </w:t>
      </w:r>
      <w:r w:rsidR="00BE33BF" w:rsidRPr="00CB0181">
        <w:rPr>
          <w:rFonts w:ascii="Roboto Slab" w:eastAsia="Calibri" w:hAnsi="Roboto Slab" w:cs="Times New Roman"/>
          <w:noProof/>
          <w:sz w:val="20"/>
          <w:szCs w:val="20"/>
        </w:rPr>
        <w:t>das vom Bundestag verabschiedete Infrastruktur- und Rüstungspaket.</w:t>
      </w:r>
      <w:r w:rsidRPr="00CB0181">
        <w:rPr>
          <w:rFonts w:ascii="Roboto Slab" w:eastAsia="Calibri" w:hAnsi="Roboto Slab" w:cs="Times New Roman"/>
          <w:noProof/>
          <w:sz w:val="20"/>
          <w:szCs w:val="20"/>
        </w:rPr>
        <w:t xml:space="preserve"> Im weiteren Verlauf des Quartals erreichte der DAX neue Rekordstände. Auch der europäische </w:t>
      </w:r>
      <w:r w:rsidR="00287156" w:rsidRPr="00CB0181">
        <w:rPr>
          <w:rFonts w:ascii="Roboto Slab" w:eastAsia="Calibri" w:hAnsi="Roboto Slab" w:cs="Times New Roman"/>
          <w:noProof/>
          <w:sz w:val="20"/>
          <w:szCs w:val="20"/>
        </w:rPr>
        <w:t xml:space="preserve">Index </w:t>
      </w:r>
      <w:r w:rsidRPr="00CB0181">
        <w:rPr>
          <w:rFonts w:ascii="Roboto Slab" w:eastAsia="Calibri" w:hAnsi="Roboto Slab" w:cs="Times New Roman"/>
          <w:noProof/>
          <w:sz w:val="20"/>
          <w:szCs w:val="20"/>
        </w:rPr>
        <w:t xml:space="preserve">STOXX </w:t>
      </w:r>
      <w:r w:rsidR="00BE33BF" w:rsidRPr="00CB0181">
        <w:rPr>
          <w:rFonts w:ascii="Roboto Slab" w:eastAsia="Calibri" w:hAnsi="Roboto Slab" w:cs="Times New Roman"/>
          <w:noProof/>
          <w:sz w:val="20"/>
          <w:szCs w:val="20"/>
        </w:rPr>
        <w:t xml:space="preserve">Europe </w:t>
      </w:r>
      <w:r w:rsidR="003846DB" w:rsidRPr="00CB0181">
        <w:rPr>
          <w:rFonts w:ascii="Roboto Slab" w:eastAsia="Calibri" w:hAnsi="Roboto Slab" w:cs="Times New Roman"/>
          <w:noProof/>
          <w:sz w:val="20"/>
          <w:szCs w:val="20"/>
        </w:rPr>
        <w:t>50</w:t>
      </w:r>
      <w:r w:rsidRPr="00CB0181">
        <w:rPr>
          <w:rFonts w:ascii="Roboto Slab" w:eastAsia="Calibri" w:hAnsi="Roboto Slab" w:cs="Times New Roman"/>
          <w:noProof/>
          <w:sz w:val="20"/>
          <w:szCs w:val="20"/>
        </w:rPr>
        <w:t xml:space="preserve"> entwickelte sich positiv, gestützt durch den nachlassenden Handelskostendruck und eine insgesamt stabilisierte Marktstimmung. </w:t>
      </w:r>
      <w:r w:rsidR="003F23A5" w:rsidRPr="00CB0181">
        <w:rPr>
          <w:rFonts w:ascii="Roboto Slab" w:eastAsia="Calibri" w:hAnsi="Roboto Slab" w:cs="Times New Roman"/>
          <w:noProof/>
          <w:sz w:val="20"/>
          <w:szCs w:val="20"/>
        </w:rPr>
        <w:t>D</w:t>
      </w:r>
      <w:r w:rsidRPr="00CB0181">
        <w:rPr>
          <w:rFonts w:ascii="Roboto Slab" w:eastAsia="Calibri" w:hAnsi="Roboto Slab" w:cs="Times New Roman"/>
          <w:noProof/>
          <w:sz w:val="20"/>
          <w:szCs w:val="20"/>
        </w:rPr>
        <w:t>ie Volatilität</w:t>
      </w:r>
      <w:r w:rsidR="003F23A5" w:rsidRPr="00CB0181">
        <w:rPr>
          <w:rFonts w:ascii="Roboto Slab" w:eastAsia="Calibri" w:hAnsi="Roboto Slab" w:cs="Times New Roman"/>
          <w:noProof/>
          <w:sz w:val="20"/>
          <w:szCs w:val="20"/>
        </w:rPr>
        <w:t xml:space="preserve"> blieb</w:t>
      </w:r>
      <w:r w:rsidRPr="00CB0181">
        <w:rPr>
          <w:rFonts w:ascii="Roboto Slab" w:eastAsia="Calibri" w:hAnsi="Roboto Slab" w:cs="Times New Roman"/>
          <w:noProof/>
          <w:sz w:val="20"/>
          <w:szCs w:val="20"/>
        </w:rPr>
        <w:t xml:space="preserve"> </w:t>
      </w:r>
      <w:r w:rsidR="003F23A5" w:rsidRPr="00CB0181">
        <w:rPr>
          <w:rFonts w:ascii="Roboto Slab" w:eastAsia="Calibri" w:hAnsi="Roboto Slab" w:cs="Times New Roman"/>
          <w:noProof/>
          <w:sz w:val="20"/>
          <w:szCs w:val="20"/>
        </w:rPr>
        <w:t xml:space="preserve">indes </w:t>
      </w:r>
      <w:r w:rsidRPr="00CB0181">
        <w:rPr>
          <w:rFonts w:ascii="Roboto Slab" w:eastAsia="Calibri" w:hAnsi="Roboto Slab" w:cs="Times New Roman"/>
          <w:noProof/>
          <w:sz w:val="20"/>
          <w:szCs w:val="20"/>
        </w:rPr>
        <w:t>hoch, da Investoren weiterhin sensibel auf neue Meldungen zur US</w:t>
      </w:r>
      <w:r w:rsidRPr="00CB0181">
        <w:rPr>
          <w:rFonts w:ascii="Cambria Math" w:eastAsia="Calibri" w:hAnsi="Cambria Math" w:cs="Cambria Math"/>
          <w:noProof/>
          <w:sz w:val="20"/>
          <w:szCs w:val="20"/>
        </w:rPr>
        <w:t>‑</w:t>
      </w:r>
      <w:r w:rsidRPr="00CB0181">
        <w:rPr>
          <w:rFonts w:ascii="Roboto Slab" w:eastAsia="Calibri" w:hAnsi="Roboto Slab" w:cs="Times New Roman"/>
          <w:noProof/>
          <w:sz w:val="20"/>
          <w:szCs w:val="20"/>
        </w:rPr>
        <w:t>Handelspolitik reagierten.</w:t>
      </w:r>
    </w:p>
    <w:p w14:paraId="3F03ED3F" w14:textId="77777777" w:rsidR="0016119D" w:rsidRPr="00CB0181" w:rsidRDefault="0016119D" w:rsidP="0016119D">
      <w:pPr>
        <w:spacing w:line="240" w:lineRule="auto"/>
        <w:ind w:left="426" w:right="567"/>
        <w:rPr>
          <w:rFonts w:ascii="Roboto Slab" w:eastAsia="Calibri" w:hAnsi="Roboto Slab" w:cs="Times New Roman"/>
          <w:noProof/>
          <w:sz w:val="20"/>
          <w:szCs w:val="20"/>
        </w:rPr>
      </w:pPr>
    </w:p>
    <w:p w14:paraId="10FA699E" w14:textId="06584D46" w:rsidR="0016119D" w:rsidRPr="00CB0181" w:rsidRDefault="0016119D" w:rsidP="0016119D">
      <w:pPr>
        <w:spacing w:line="240" w:lineRule="auto"/>
        <w:ind w:left="426"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 xml:space="preserve">Im Juni gerieten die internationalen Finanzmärkte durch eine erneute Eskalation im Nahen Osten </w:t>
      </w:r>
      <w:r w:rsidR="0033425C" w:rsidRPr="00CB0181">
        <w:rPr>
          <w:rFonts w:ascii="Roboto Slab" w:eastAsia="Calibri" w:hAnsi="Roboto Slab" w:cs="Times New Roman"/>
          <w:noProof/>
          <w:sz w:val="20"/>
          <w:szCs w:val="20"/>
        </w:rPr>
        <w:t xml:space="preserve">zusätzlich </w:t>
      </w:r>
      <w:r w:rsidRPr="00CB0181">
        <w:rPr>
          <w:rFonts w:ascii="Roboto Slab" w:eastAsia="Calibri" w:hAnsi="Roboto Slab" w:cs="Times New Roman"/>
          <w:noProof/>
          <w:sz w:val="20"/>
          <w:szCs w:val="20"/>
        </w:rPr>
        <w:t xml:space="preserve">unter Druck. Auslöser waren israelische Luftangriffe auf iranische Atomanlagen als Reaktion auf das weiter voranschreitende iranische Atomprogramm. Diese Entwicklung führte zunächst zu einer erhöhten Risikoaversion unter Investoren: Die Ölpreise stiegen </w:t>
      </w:r>
      <w:r w:rsidR="00733FEF" w:rsidRPr="00CB0181">
        <w:rPr>
          <w:rFonts w:ascii="Roboto Slab" w:eastAsia="Calibri" w:hAnsi="Roboto Slab" w:cs="Times New Roman"/>
          <w:noProof/>
          <w:sz w:val="20"/>
          <w:szCs w:val="20"/>
        </w:rPr>
        <w:t>signifikant</w:t>
      </w:r>
      <w:r w:rsidR="00A8385D" w:rsidRPr="00CB0181">
        <w:rPr>
          <w:rFonts w:ascii="Roboto Slab" w:eastAsia="Calibri" w:hAnsi="Roboto Slab" w:cs="Times New Roman"/>
          <w:noProof/>
          <w:sz w:val="20"/>
          <w:szCs w:val="20"/>
        </w:rPr>
        <w:t xml:space="preserve"> </w:t>
      </w:r>
      <w:r w:rsidRPr="00CB0181">
        <w:rPr>
          <w:rFonts w:ascii="Roboto Slab" w:eastAsia="Calibri" w:hAnsi="Roboto Slab" w:cs="Times New Roman"/>
          <w:noProof/>
          <w:sz w:val="20"/>
          <w:szCs w:val="20"/>
        </w:rPr>
        <w:t xml:space="preserve">an und globale Aktienindizes verzeichneten teils </w:t>
      </w:r>
      <w:r w:rsidR="00A8385D" w:rsidRPr="00CB0181">
        <w:rPr>
          <w:rFonts w:ascii="Roboto Slab" w:eastAsia="Calibri" w:hAnsi="Roboto Slab" w:cs="Times New Roman"/>
          <w:noProof/>
          <w:sz w:val="20"/>
          <w:szCs w:val="20"/>
        </w:rPr>
        <w:t xml:space="preserve">erhebliche </w:t>
      </w:r>
      <w:r w:rsidRPr="00CB0181">
        <w:rPr>
          <w:rFonts w:ascii="Roboto Slab" w:eastAsia="Calibri" w:hAnsi="Roboto Slab" w:cs="Times New Roman"/>
          <w:noProof/>
          <w:sz w:val="20"/>
          <w:szCs w:val="20"/>
        </w:rPr>
        <w:t>Kursverluste, insbesondere in energie- und transportintensiven Sektoren.</w:t>
      </w:r>
    </w:p>
    <w:p w14:paraId="08AF7512" w14:textId="77777777" w:rsidR="00A8385D" w:rsidRPr="00CB0181" w:rsidRDefault="00A8385D" w:rsidP="0016119D">
      <w:pPr>
        <w:spacing w:line="240" w:lineRule="auto"/>
        <w:ind w:left="426" w:right="567"/>
        <w:rPr>
          <w:rFonts w:ascii="Roboto Slab" w:eastAsia="Calibri" w:hAnsi="Roboto Slab" w:cs="Times New Roman"/>
          <w:noProof/>
          <w:sz w:val="20"/>
          <w:szCs w:val="20"/>
        </w:rPr>
      </w:pPr>
    </w:p>
    <w:p w14:paraId="71B28BF1" w14:textId="34C08D8A" w:rsidR="0016119D" w:rsidRPr="00CB0181" w:rsidRDefault="0016119D" w:rsidP="0016119D">
      <w:pPr>
        <w:spacing w:line="240" w:lineRule="auto"/>
        <w:ind w:left="426"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 xml:space="preserve">Bereits nach wenigen Tagen </w:t>
      </w:r>
      <w:r w:rsidR="00A8385D" w:rsidRPr="00CB0181">
        <w:rPr>
          <w:rFonts w:ascii="Roboto Slab" w:eastAsia="Calibri" w:hAnsi="Roboto Slab" w:cs="Times New Roman"/>
          <w:noProof/>
          <w:sz w:val="20"/>
          <w:szCs w:val="20"/>
        </w:rPr>
        <w:t>setzte</w:t>
      </w:r>
      <w:r w:rsidRPr="00CB0181">
        <w:rPr>
          <w:rFonts w:ascii="Roboto Slab" w:eastAsia="Calibri" w:hAnsi="Roboto Slab" w:cs="Times New Roman"/>
          <w:noProof/>
          <w:sz w:val="20"/>
          <w:szCs w:val="20"/>
        </w:rPr>
        <w:t xml:space="preserve"> jedoch eine von den USA vermittelte Waffenruhe</w:t>
      </w:r>
      <w:r w:rsidR="00A8385D" w:rsidRPr="00CB0181">
        <w:rPr>
          <w:rFonts w:ascii="Roboto Slab" w:eastAsia="Calibri" w:hAnsi="Roboto Slab" w:cs="Times New Roman"/>
          <w:noProof/>
          <w:sz w:val="20"/>
          <w:szCs w:val="20"/>
        </w:rPr>
        <w:t xml:space="preserve"> ein</w:t>
      </w:r>
      <w:r w:rsidRPr="00CB0181">
        <w:rPr>
          <w:rFonts w:ascii="Roboto Slab" w:eastAsia="Calibri" w:hAnsi="Roboto Slab" w:cs="Times New Roman"/>
          <w:noProof/>
          <w:sz w:val="20"/>
          <w:szCs w:val="20"/>
        </w:rPr>
        <w:t>, wodurch sich die Lage rasch beruhigte</w:t>
      </w:r>
      <w:r w:rsidR="00A8385D" w:rsidRPr="00CB0181">
        <w:rPr>
          <w:rFonts w:ascii="Roboto Slab" w:eastAsia="Calibri" w:hAnsi="Roboto Slab" w:cs="Times New Roman"/>
          <w:noProof/>
          <w:sz w:val="20"/>
          <w:szCs w:val="20"/>
        </w:rPr>
        <w:t>:</w:t>
      </w:r>
      <w:r w:rsidRPr="00CB0181">
        <w:rPr>
          <w:rFonts w:ascii="Roboto Slab" w:eastAsia="Calibri" w:hAnsi="Roboto Slab" w:cs="Times New Roman"/>
          <w:noProof/>
          <w:sz w:val="20"/>
          <w:szCs w:val="20"/>
        </w:rPr>
        <w:t xml:space="preserve"> </w:t>
      </w:r>
      <w:r w:rsidR="00A8385D" w:rsidRPr="00CB0181">
        <w:rPr>
          <w:rFonts w:ascii="Roboto Slab" w:eastAsia="Calibri" w:hAnsi="Roboto Slab" w:cs="Times New Roman"/>
          <w:noProof/>
          <w:sz w:val="20"/>
          <w:szCs w:val="20"/>
        </w:rPr>
        <w:t>D</w:t>
      </w:r>
      <w:r w:rsidRPr="00CB0181">
        <w:rPr>
          <w:rFonts w:ascii="Roboto Slab" w:eastAsia="Calibri" w:hAnsi="Roboto Slab" w:cs="Times New Roman"/>
          <w:noProof/>
          <w:sz w:val="20"/>
          <w:szCs w:val="20"/>
        </w:rPr>
        <w:t xml:space="preserve">ie Rohölpreise </w:t>
      </w:r>
      <w:r w:rsidR="00A8385D" w:rsidRPr="00CB0181">
        <w:rPr>
          <w:rFonts w:ascii="Roboto Slab" w:eastAsia="Calibri" w:hAnsi="Roboto Slab" w:cs="Times New Roman"/>
          <w:noProof/>
          <w:sz w:val="20"/>
          <w:szCs w:val="20"/>
        </w:rPr>
        <w:t xml:space="preserve">gaben </w:t>
      </w:r>
      <w:r w:rsidRPr="00CB0181">
        <w:rPr>
          <w:rFonts w:ascii="Roboto Slab" w:eastAsia="Calibri" w:hAnsi="Roboto Slab" w:cs="Times New Roman"/>
          <w:noProof/>
          <w:sz w:val="20"/>
          <w:szCs w:val="20"/>
        </w:rPr>
        <w:t xml:space="preserve">wieder nach und auch die Aktienmärkte erholten sich </w:t>
      </w:r>
      <w:r w:rsidR="00A8385D" w:rsidRPr="00CB0181">
        <w:rPr>
          <w:rFonts w:ascii="Roboto Slab" w:eastAsia="Calibri" w:hAnsi="Roboto Slab" w:cs="Times New Roman"/>
          <w:noProof/>
          <w:sz w:val="20"/>
          <w:szCs w:val="20"/>
        </w:rPr>
        <w:t>zusehends</w:t>
      </w:r>
      <w:r w:rsidRPr="00CB0181">
        <w:rPr>
          <w:rFonts w:ascii="Roboto Slab" w:eastAsia="Calibri" w:hAnsi="Roboto Slab" w:cs="Times New Roman"/>
          <w:noProof/>
          <w:sz w:val="20"/>
          <w:szCs w:val="20"/>
        </w:rPr>
        <w:t>. Besonders hervorzuheben ist die Entwicklung des DAX, der nach den anfänglichen Verlusten wieder kräftig zulegen konnte und im weiteren Verlauf des Monats erneut in Richtung seines Allzeithochs stieg.</w:t>
      </w:r>
      <w:r w:rsidR="00BE33BF" w:rsidRPr="00CB0181">
        <w:rPr>
          <w:rFonts w:ascii="Roboto Slab" w:eastAsia="Calibri" w:hAnsi="Roboto Slab" w:cs="Times New Roman"/>
          <w:noProof/>
          <w:sz w:val="20"/>
          <w:szCs w:val="20"/>
        </w:rPr>
        <w:t xml:space="preserve"> </w:t>
      </w:r>
    </w:p>
    <w:p w14:paraId="4C2C6DC2" w14:textId="5EA181F3" w:rsidR="009969C7" w:rsidRPr="0016119D" w:rsidRDefault="009969C7" w:rsidP="007A01AC">
      <w:pPr>
        <w:spacing w:line="240" w:lineRule="auto"/>
        <w:ind w:left="426" w:right="567"/>
        <w:rPr>
          <w:rFonts w:ascii="Roboto Slab" w:eastAsia="Calibri" w:hAnsi="Roboto Slab" w:cs="Times New Roman"/>
          <w:noProof/>
          <w:color w:val="215868" w:themeColor="accent5" w:themeShade="80"/>
          <w:sz w:val="20"/>
          <w:szCs w:val="20"/>
        </w:rPr>
      </w:pPr>
    </w:p>
    <w:p w14:paraId="062E22E8" w14:textId="77777777" w:rsidR="003846DB" w:rsidRDefault="003846DB" w:rsidP="003846DB">
      <w:pPr>
        <w:tabs>
          <w:tab w:val="left" w:pos="2198"/>
        </w:tabs>
        <w:spacing w:line="240" w:lineRule="auto"/>
        <w:ind w:left="426" w:right="567"/>
        <w:rPr>
          <w:rFonts w:ascii="Roboto Slab" w:eastAsia="Calibri" w:hAnsi="Roboto Slab" w:cs="Times New Roman"/>
          <w:noProof/>
          <w:color w:val="215868" w:themeColor="accent5" w:themeShade="80"/>
          <w:sz w:val="16"/>
          <w:szCs w:val="16"/>
        </w:rPr>
      </w:pPr>
      <w:r>
        <w:rPr>
          <w:rFonts w:ascii="Roboto Slab" w:eastAsia="Calibri" w:hAnsi="Roboto Slab" w:cs="Times New Roman"/>
          <w:noProof/>
          <w:color w:val="215868" w:themeColor="accent5" w:themeShade="80"/>
          <w:sz w:val="16"/>
          <w:szCs w:val="16"/>
        </w:rPr>
        <w:t xml:space="preserve">                                      </w:t>
      </w:r>
      <w:r>
        <w:rPr>
          <w:rFonts w:ascii="Roboto Slab" w:eastAsia="Calibri" w:hAnsi="Roboto Slab" w:cs="Times New Roman"/>
          <w:b/>
          <w:bCs/>
          <w:noProof/>
          <w:color w:val="215868" w:themeColor="accent5" w:themeShade="80"/>
          <w:sz w:val="20"/>
          <w:szCs w:val="20"/>
        </w:rPr>
        <w:drawing>
          <wp:inline distT="0" distB="0" distL="0" distR="0" wp14:anchorId="5F116673" wp14:editId="399430A8">
            <wp:extent cx="3846195" cy="2310765"/>
            <wp:effectExtent l="0" t="0" r="1905" b="0"/>
            <wp:docPr id="2116737445" name="Grafik 1" descr="Ein Bild, das Text, Screenshot, Diagramm,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37445" name="Grafik 1" descr="Ein Bild, das Text, Screenshot, Diagramm, Reihe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6195" cy="2310765"/>
                    </a:xfrm>
                    <a:prstGeom prst="rect">
                      <a:avLst/>
                    </a:prstGeom>
                    <a:noFill/>
                  </pic:spPr>
                </pic:pic>
              </a:graphicData>
            </a:graphic>
          </wp:inline>
        </w:drawing>
      </w:r>
    </w:p>
    <w:p w14:paraId="59C0BF0E" w14:textId="010197E7" w:rsidR="002477DA" w:rsidRPr="00CB0181" w:rsidRDefault="003846DB" w:rsidP="003846DB">
      <w:pPr>
        <w:tabs>
          <w:tab w:val="left" w:pos="2198"/>
        </w:tabs>
        <w:spacing w:line="240" w:lineRule="auto"/>
        <w:ind w:left="426" w:right="567"/>
        <w:rPr>
          <w:rFonts w:ascii="Roboto Slab" w:eastAsia="Calibri" w:hAnsi="Roboto Slab" w:cs="Times New Roman"/>
          <w:b/>
          <w:bCs/>
          <w:noProof/>
          <w:sz w:val="20"/>
          <w:szCs w:val="20"/>
        </w:rPr>
      </w:pPr>
      <w:r>
        <w:rPr>
          <w:rFonts w:ascii="Roboto Slab" w:eastAsia="Calibri" w:hAnsi="Roboto Slab" w:cs="Times New Roman"/>
          <w:noProof/>
          <w:color w:val="215868" w:themeColor="accent5" w:themeShade="80"/>
          <w:sz w:val="16"/>
          <w:szCs w:val="16"/>
        </w:rPr>
        <w:t xml:space="preserve">                                     </w:t>
      </w:r>
      <w:r w:rsidR="005764A8" w:rsidRPr="00CB0181">
        <w:rPr>
          <w:rFonts w:ascii="Roboto Slab" w:eastAsia="Calibri" w:hAnsi="Roboto Slab" w:cs="Times New Roman"/>
          <w:noProof/>
          <w:sz w:val="16"/>
          <w:szCs w:val="16"/>
        </w:rPr>
        <w:t>Quelle: finanzen.net</w:t>
      </w:r>
    </w:p>
    <w:p w14:paraId="30B8C698" w14:textId="678976E6" w:rsidR="00F62070" w:rsidRPr="00CB0181" w:rsidRDefault="00F62070" w:rsidP="003846DB">
      <w:pPr>
        <w:keepNext/>
        <w:tabs>
          <w:tab w:val="center" w:pos="5028"/>
        </w:tabs>
        <w:spacing w:before="480" w:after="240" w:line="240" w:lineRule="auto"/>
        <w:ind w:left="425" w:right="567"/>
        <w:rPr>
          <w:rFonts w:ascii="Roboto Slab" w:eastAsia="Calibri" w:hAnsi="Roboto Slab" w:cs="Times New Roman"/>
          <w:b/>
          <w:bCs/>
          <w:noProof/>
          <w:sz w:val="20"/>
          <w:szCs w:val="20"/>
        </w:rPr>
      </w:pPr>
      <w:r w:rsidRPr="00CB0181">
        <w:rPr>
          <w:rFonts w:ascii="Roboto Slab" w:eastAsia="Calibri" w:hAnsi="Roboto Slab" w:cs="Times New Roman"/>
          <w:b/>
          <w:bCs/>
          <w:noProof/>
          <w:sz w:val="20"/>
          <w:szCs w:val="20"/>
        </w:rPr>
        <w:t>Konjunktur der USA</w:t>
      </w:r>
      <w:r w:rsidR="003846DB" w:rsidRPr="00CB0181">
        <w:rPr>
          <w:rFonts w:ascii="Roboto Slab" w:eastAsia="Calibri" w:hAnsi="Roboto Slab" w:cs="Times New Roman"/>
          <w:b/>
          <w:bCs/>
          <w:noProof/>
          <w:sz w:val="20"/>
          <w:szCs w:val="20"/>
        </w:rPr>
        <w:tab/>
      </w:r>
    </w:p>
    <w:p w14:paraId="7DD56675" w14:textId="1BAC55E7" w:rsidR="00422F60" w:rsidRPr="00CB0181" w:rsidRDefault="00422F60" w:rsidP="00422F60">
      <w:pPr>
        <w:ind w:left="425"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In den Vereinigten Staaten zeigten sich hingegen</w:t>
      </w:r>
      <w:r w:rsidR="003F23A5" w:rsidRPr="00CB0181">
        <w:rPr>
          <w:rFonts w:ascii="Roboto Slab" w:eastAsia="Calibri" w:hAnsi="Roboto Slab" w:cs="Times New Roman"/>
          <w:noProof/>
          <w:sz w:val="20"/>
          <w:szCs w:val="20"/>
        </w:rPr>
        <w:t>, bedingt durch die bestehenden handelspolitischen Spannungen,</w:t>
      </w:r>
      <w:r w:rsidRPr="00CB0181">
        <w:rPr>
          <w:rFonts w:ascii="Roboto Slab" w:eastAsia="Calibri" w:hAnsi="Roboto Slab" w:cs="Times New Roman"/>
          <w:noProof/>
          <w:sz w:val="20"/>
          <w:szCs w:val="20"/>
        </w:rPr>
        <w:t xml:space="preserve"> deutliche Anzeichen einer konjunkturellen Abschwächung. Im ersten Quartal 2025 schrumpfte das US</w:t>
      </w:r>
      <w:r w:rsidRPr="00CB0181">
        <w:rPr>
          <w:rFonts w:ascii="Cambria Math" w:eastAsia="Calibri" w:hAnsi="Cambria Math" w:cs="Cambria Math"/>
          <w:noProof/>
          <w:sz w:val="20"/>
          <w:szCs w:val="20"/>
        </w:rPr>
        <w:t>‑</w:t>
      </w:r>
      <w:r w:rsidRPr="00CB0181">
        <w:rPr>
          <w:rFonts w:ascii="Roboto Slab" w:eastAsia="Calibri" w:hAnsi="Roboto Slab" w:cs="Times New Roman"/>
          <w:noProof/>
          <w:sz w:val="20"/>
          <w:szCs w:val="20"/>
        </w:rPr>
        <w:t>amerikanische Bruttoinlandsprodukt um 0,5</w:t>
      </w:r>
      <w:r w:rsidRPr="00CB0181">
        <w:rPr>
          <w:rFonts w:ascii="Times New Roman" w:eastAsia="Calibri" w:hAnsi="Times New Roman" w:cs="Times New Roman"/>
          <w:noProof/>
          <w:sz w:val="20"/>
          <w:szCs w:val="20"/>
        </w:rPr>
        <w:t> </w:t>
      </w:r>
      <w:r w:rsidRPr="00CB0181">
        <w:rPr>
          <w:rFonts w:ascii="Roboto Slab" w:eastAsia="Calibri" w:hAnsi="Roboto Slab" w:cs="Times New Roman"/>
          <w:noProof/>
          <w:sz w:val="20"/>
          <w:szCs w:val="20"/>
        </w:rPr>
        <w:t xml:space="preserve">% im Jahresvergleich. </w:t>
      </w:r>
      <w:r w:rsidR="00594A91" w:rsidRPr="00CB0181">
        <w:rPr>
          <w:rFonts w:ascii="Roboto Slab" w:eastAsia="Calibri" w:hAnsi="Roboto Slab" w:cs="Times New Roman"/>
          <w:noProof/>
          <w:sz w:val="20"/>
          <w:szCs w:val="20"/>
        </w:rPr>
        <w:t>Zurückzuführen war d</w:t>
      </w:r>
      <w:r w:rsidRPr="00CB0181">
        <w:rPr>
          <w:rFonts w:ascii="Roboto Slab" w:eastAsia="Calibri" w:hAnsi="Roboto Slab" w:cs="Times New Roman"/>
          <w:noProof/>
          <w:sz w:val="20"/>
          <w:szCs w:val="20"/>
        </w:rPr>
        <w:t xml:space="preserve">iese rückläufige Entwicklung im Wesentlichen auf einen sprunghaften Anstieg der Importe vor dem Inkrafttreten der angekündigten Zölle, während zugleich die privaten Konsumausgaben sowie die staatliche Nachfrage zurückhaltend blieben. Analysten </w:t>
      </w:r>
      <w:r w:rsidR="007B47B5" w:rsidRPr="00CB0181">
        <w:rPr>
          <w:rFonts w:ascii="Roboto Slab" w:eastAsia="Calibri" w:hAnsi="Roboto Slab" w:cs="Times New Roman"/>
          <w:noProof/>
          <w:sz w:val="20"/>
          <w:szCs w:val="20"/>
        </w:rPr>
        <w:t xml:space="preserve">bezeichnen dies als </w:t>
      </w:r>
      <w:r w:rsidRPr="00CB0181">
        <w:rPr>
          <w:rFonts w:ascii="Roboto Slab" w:eastAsia="Calibri" w:hAnsi="Roboto Slab" w:cs="Times New Roman"/>
          <w:noProof/>
          <w:sz w:val="20"/>
          <w:szCs w:val="20"/>
        </w:rPr>
        <w:t xml:space="preserve">Vorzieheffekt, der die Wachstumszahlen temporär verzerrte. </w:t>
      </w:r>
      <w:r w:rsidRPr="00CB0181">
        <w:rPr>
          <w:rFonts w:ascii="Roboto Slab" w:eastAsia="Calibri" w:hAnsi="Roboto Slab" w:cs="Times New Roman"/>
          <w:noProof/>
          <w:sz w:val="20"/>
          <w:szCs w:val="20"/>
        </w:rPr>
        <w:lastRenderedPageBreak/>
        <w:t xml:space="preserve">Gleichwohl besteht mittelfristig die Gefahr einer Stagflation, also einer Kombination aus stagnierendem Wachstum und </w:t>
      </w:r>
      <w:r w:rsidR="003329DD" w:rsidRPr="00CB0181">
        <w:rPr>
          <w:rFonts w:ascii="Roboto Slab" w:eastAsia="Calibri" w:hAnsi="Roboto Slab" w:cs="Times New Roman"/>
          <w:noProof/>
          <w:sz w:val="20"/>
          <w:szCs w:val="20"/>
        </w:rPr>
        <w:t xml:space="preserve">anziehendem </w:t>
      </w:r>
      <w:r w:rsidRPr="00CB0181">
        <w:rPr>
          <w:rFonts w:ascii="Roboto Slab" w:eastAsia="Calibri" w:hAnsi="Roboto Slab" w:cs="Times New Roman"/>
          <w:noProof/>
          <w:sz w:val="20"/>
          <w:szCs w:val="20"/>
        </w:rPr>
        <w:t xml:space="preserve">Preisniveau. </w:t>
      </w:r>
    </w:p>
    <w:p w14:paraId="6B120387" w14:textId="77777777" w:rsidR="007B47B5" w:rsidRPr="00CB0181" w:rsidRDefault="007B47B5" w:rsidP="00422F60">
      <w:pPr>
        <w:ind w:left="425" w:right="567"/>
        <w:rPr>
          <w:rFonts w:ascii="Roboto Slab" w:eastAsia="Calibri" w:hAnsi="Roboto Slab" w:cs="Times New Roman"/>
          <w:noProof/>
          <w:sz w:val="20"/>
          <w:szCs w:val="20"/>
        </w:rPr>
      </w:pPr>
    </w:p>
    <w:p w14:paraId="7EC8835F" w14:textId="422B939C" w:rsidR="00422F60" w:rsidRPr="00CB0181" w:rsidRDefault="00422F60" w:rsidP="00422F60">
      <w:pPr>
        <w:ind w:left="425"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 xml:space="preserve">Neben dem Rückgang des Bruttoinlandsprodukts war im zweiten Quartal eine weitere markante Entwicklung </w:t>
      </w:r>
      <w:r w:rsidR="00D65797" w:rsidRPr="00CB0181">
        <w:rPr>
          <w:rFonts w:ascii="Roboto Slab" w:eastAsia="Calibri" w:hAnsi="Roboto Slab" w:cs="Times New Roman"/>
          <w:noProof/>
          <w:sz w:val="20"/>
          <w:szCs w:val="20"/>
        </w:rPr>
        <w:t xml:space="preserve">an </w:t>
      </w:r>
      <w:r w:rsidRPr="00CB0181">
        <w:rPr>
          <w:rFonts w:ascii="Roboto Slab" w:eastAsia="Calibri" w:hAnsi="Roboto Slab" w:cs="Times New Roman"/>
          <w:noProof/>
          <w:sz w:val="20"/>
          <w:szCs w:val="20"/>
        </w:rPr>
        <w:t>den US</w:t>
      </w:r>
      <w:r w:rsidR="00D65797" w:rsidRPr="00CB0181">
        <w:rPr>
          <w:rFonts w:ascii="Roboto Slab" w:eastAsia="Calibri" w:hAnsi="Roboto Slab" w:cs="Times New Roman"/>
          <w:noProof/>
          <w:sz w:val="20"/>
          <w:szCs w:val="20"/>
        </w:rPr>
        <w:t>-</w:t>
      </w:r>
      <w:r w:rsidRPr="00CB0181">
        <w:rPr>
          <w:rFonts w:ascii="Roboto Slab" w:eastAsia="Calibri" w:hAnsi="Roboto Slab" w:cs="Times New Roman"/>
          <w:noProof/>
          <w:sz w:val="20"/>
          <w:szCs w:val="20"/>
        </w:rPr>
        <w:t>Finanzmärkten zu beobachten: Im Zuge des eskalierten Handelskonflikts kam es zu umfangreichen Abverkäufen von US</w:t>
      </w:r>
      <w:r w:rsidR="00D65797" w:rsidRPr="00CB0181">
        <w:rPr>
          <w:rFonts w:ascii="Roboto Slab" w:eastAsia="Calibri" w:hAnsi="Roboto Slab" w:cs="Times New Roman"/>
          <w:noProof/>
          <w:sz w:val="20"/>
          <w:szCs w:val="20"/>
        </w:rPr>
        <w:t>-</w:t>
      </w:r>
      <w:r w:rsidRPr="00CB0181">
        <w:rPr>
          <w:rFonts w:ascii="Roboto Slab" w:eastAsia="Calibri" w:hAnsi="Roboto Slab" w:cs="Times New Roman"/>
          <w:noProof/>
          <w:sz w:val="20"/>
          <w:szCs w:val="20"/>
        </w:rPr>
        <w:t>Staatsanleihen durch internationale Investoren, insbesondere aus China und anderen asiatischen Staaten. Diese Verkaufswelle ließ die Kurse amerikanischer Staatsanleihen deutlich fallen, was im Gegenzug zu einem spürbaren Anstieg der Renditen führte. Die Rendite zehnjähriger US</w:t>
      </w:r>
      <w:r w:rsidR="00D65797" w:rsidRPr="00CB0181">
        <w:rPr>
          <w:rFonts w:ascii="Roboto Slab" w:eastAsia="Calibri" w:hAnsi="Roboto Slab" w:cs="Times New Roman"/>
          <w:noProof/>
          <w:sz w:val="20"/>
          <w:szCs w:val="20"/>
        </w:rPr>
        <w:t>-</w:t>
      </w:r>
      <w:r w:rsidRPr="00CB0181">
        <w:rPr>
          <w:rFonts w:ascii="Roboto Slab" w:eastAsia="Calibri" w:hAnsi="Roboto Slab" w:cs="Times New Roman"/>
          <w:noProof/>
          <w:sz w:val="20"/>
          <w:szCs w:val="20"/>
        </w:rPr>
        <w:t>Treasuries stieg zeitweise über die Marke von 4,</w:t>
      </w:r>
      <w:r w:rsidR="003329DD" w:rsidRPr="00CB0181">
        <w:rPr>
          <w:rFonts w:ascii="Roboto Slab" w:eastAsia="Calibri" w:hAnsi="Roboto Slab" w:cs="Times New Roman"/>
          <w:noProof/>
          <w:sz w:val="20"/>
          <w:szCs w:val="20"/>
        </w:rPr>
        <w:t>6</w:t>
      </w:r>
      <w:r w:rsidRPr="00CB0181">
        <w:rPr>
          <w:rFonts w:ascii="Times New Roman" w:eastAsia="Calibri" w:hAnsi="Times New Roman" w:cs="Times New Roman"/>
          <w:noProof/>
          <w:sz w:val="20"/>
          <w:szCs w:val="20"/>
        </w:rPr>
        <w:t> </w:t>
      </w:r>
      <w:r w:rsidRPr="00CB0181">
        <w:rPr>
          <w:rFonts w:ascii="Roboto Slab" w:eastAsia="Calibri" w:hAnsi="Roboto Slab" w:cs="Times New Roman"/>
          <w:noProof/>
          <w:sz w:val="20"/>
          <w:szCs w:val="20"/>
        </w:rPr>
        <w:t>%</w:t>
      </w:r>
      <w:r w:rsidR="007B47B5" w:rsidRPr="00CB0181">
        <w:rPr>
          <w:rFonts w:ascii="Roboto Slab" w:eastAsia="Calibri" w:hAnsi="Roboto Slab" w:cs="Times New Roman"/>
          <w:noProof/>
          <w:sz w:val="20"/>
          <w:szCs w:val="20"/>
        </w:rPr>
        <w:t xml:space="preserve"> </w:t>
      </w:r>
      <w:r w:rsidR="003329DD" w:rsidRPr="00CB0181">
        <w:rPr>
          <w:rFonts w:ascii="Roboto Slab" w:eastAsia="Calibri" w:hAnsi="Roboto Slab" w:cs="Times New Roman"/>
          <w:noProof/>
          <w:sz w:val="20"/>
          <w:szCs w:val="20"/>
        </w:rPr>
        <w:t>und damit in die Nähe der Höchststände der letzten Jahre</w:t>
      </w:r>
      <w:r w:rsidRPr="00CB0181">
        <w:rPr>
          <w:rFonts w:ascii="Roboto Slab" w:eastAsia="Calibri" w:hAnsi="Roboto Slab" w:cs="Times New Roman"/>
          <w:noProof/>
          <w:sz w:val="20"/>
          <w:szCs w:val="20"/>
        </w:rPr>
        <w:t>, bevor sie sich zum Quartalsende wieder leicht zurückbildete. Fachlich betrachtet reflektiert dieser Anstieg nicht nur die veränderten Inflationserwartungen, sondern auch eine wachsende Risikoaversion gegenüber US</w:t>
      </w:r>
      <w:r w:rsidR="00D65797" w:rsidRPr="00CB0181">
        <w:rPr>
          <w:rFonts w:ascii="Roboto Slab" w:eastAsia="Calibri" w:hAnsi="Roboto Slab" w:cs="Times New Roman"/>
          <w:noProof/>
          <w:sz w:val="20"/>
          <w:szCs w:val="20"/>
        </w:rPr>
        <w:t>-</w:t>
      </w:r>
      <w:r w:rsidRPr="00CB0181">
        <w:rPr>
          <w:rFonts w:ascii="Roboto Slab" w:eastAsia="Calibri" w:hAnsi="Roboto Slab" w:cs="Times New Roman"/>
          <w:noProof/>
          <w:sz w:val="20"/>
          <w:szCs w:val="20"/>
        </w:rPr>
        <w:t>Anleihen infolge der handelspolitischen Unsicherheit</w:t>
      </w:r>
      <w:r w:rsidR="00D65797" w:rsidRPr="00CB0181">
        <w:rPr>
          <w:rFonts w:ascii="Roboto Slab" w:eastAsia="Calibri" w:hAnsi="Roboto Slab" w:cs="Times New Roman"/>
          <w:noProof/>
          <w:sz w:val="20"/>
          <w:szCs w:val="20"/>
        </w:rPr>
        <w:t>en</w:t>
      </w:r>
      <w:r w:rsidRPr="00CB0181">
        <w:rPr>
          <w:rFonts w:ascii="Roboto Slab" w:eastAsia="Calibri" w:hAnsi="Roboto Slab" w:cs="Times New Roman"/>
          <w:noProof/>
          <w:sz w:val="20"/>
          <w:szCs w:val="20"/>
        </w:rPr>
        <w:t xml:space="preserve"> und der zunehmenden Haushaltsdefizite</w:t>
      </w:r>
      <w:r w:rsidR="003329DD" w:rsidRPr="00CB0181">
        <w:rPr>
          <w:rFonts w:ascii="Roboto Slab" w:eastAsia="Calibri" w:hAnsi="Roboto Slab" w:cs="Times New Roman"/>
          <w:noProof/>
          <w:sz w:val="20"/>
          <w:szCs w:val="20"/>
        </w:rPr>
        <w:t xml:space="preserve"> </w:t>
      </w:r>
      <w:r w:rsidR="00D65797" w:rsidRPr="00CB0181">
        <w:rPr>
          <w:rFonts w:ascii="Roboto Slab" w:eastAsia="Calibri" w:hAnsi="Roboto Slab" w:cs="Times New Roman"/>
          <w:noProof/>
          <w:sz w:val="20"/>
          <w:szCs w:val="20"/>
        </w:rPr>
        <w:t>mit der damit einhergehenden</w:t>
      </w:r>
      <w:r w:rsidR="003329DD" w:rsidRPr="00CB0181">
        <w:rPr>
          <w:rFonts w:ascii="Roboto Slab" w:eastAsia="Calibri" w:hAnsi="Roboto Slab" w:cs="Times New Roman"/>
          <w:noProof/>
          <w:sz w:val="20"/>
          <w:szCs w:val="20"/>
        </w:rPr>
        <w:t xml:space="preserve"> ausufernden Staatsverschuldung</w:t>
      </w:r>
      <w:r w:rsidRPr="00CB0181">
        <w:rPr>
          <w:rFonts w:ascii="Roboto Slab" w:eastAsia="Calibri" w:hAnsi="Roboto Slab" w:cs="Times New Roman"/>
          <w:noProof/>
          <w:sz w:val="20"/>
          <w:szCs w:val="20"/>
        </w:rPr>
        <w:t>.</w:t>
      </w:r>
    </w:p>
    <w:p w14:paraId="7192ABE4" w14:textId="77777777" w:rsidR="0018079E" w:rsidRPr="00CB0181" w:rsidRDefault="0018079E" w:rsidP="00422F60">
      <w:pPr>
        <w:ind w:left="425" w:right="567"/>
        <w:rPr>
          <w:rFonts w:ascii="Roboto Slab" w:eastAsia="Calibri" w:hAnsi="Roboto Slab" w:cs="Times New Roman"/>
          <w:noProof/>
          <w:sz w:val="20"/>
          <w:szCs w:val="20"/>
        </w:rPr>
      </w:pPr>
    </w:p>
    <w:p w14:paraId="4FADAA24" w14:textId="67E04D98" w:rsidR="00422F60" w:rsidRPr="00CB0181" w:rsidRDefault="00422F60" w:rsidP="00422F60">
      <w:pPr>
        <w:ind w:left="425"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Parallel dazu wertete der US</w:t>
      </w:r>
      <w:r w:rsidR="0018079E" w:rsidRPr="00CB0181">
        <w:rPr>
          <w:rFonts w:ascii="Roboto Slab" w:eastAsia="Calibri" w:hAnsi="Roboto Slab" w:cs="Times New Roman"/>
          <w:noProof/>
          <w:sz w:val="20"/>
          <w:szCs w:val="20"/>
        </w:rPr>
        <w:t>-</w:t>
      </w:r>
      <w:r w:rsidRPr="00CB0181">
        <w:rPr>
          <w:rFonts w:ascii="Roboto Slab" w:eastAsia="Calibri" w:hAnsi="Roboto Slab" w:cs="Times New Roman"/>
          <w:noProof/>
          <w:sz w:val="20"/>
          <w:szCs w:val="20"/>
        </w:rPr>
        <w:t xml:space="preserve">Dollar gegenüber wichtigen Handelswährungen spürbar ab. </w:t>
      </w:r>
      <w:r w:rsidR="0018079E" w:rsidRPr="00CB0181">
        <w:rPr>
          <w:rFonts w:ascii="Roboto Slab" w:eastAsia="Calibri" w:hAnsi="Roboto Slab" w:cs="Times New Roman"/>
          <w:noProof/>
          <w:sz w:val="20"/>
          <w:szCs w:val="20"/>
        </w:rPr>
        <w:t>Gleich mehrere Faktoren verstärkten d</w:t>
      </w:r>
      <w:r w:rsidRPr="00CB0181">
        <w:rPr>
          <w:rFonts w:ascii="Roboto Slab" w:eastAsia="Calibri" w:hAnsi="Roboto Slab" w:cs="Times New Roman"/>
          <w:noProof/>
          <w:sz w:val="20"/>
          <w:szCs w:val="20"/>
        </w:rPr>
        <w:t>iese</w:t>
      </w:r>
      <w:r w:rsidR="0018079E" w:rsidRPr="00CB0181">
        <w:rPr>
          <w:rFonts w:ascii="Roboto Slab" w:eastAsia="Calibri" w:hAnsi="Roboto Slab" w:cs="Times New Roman"/>
          <w:noProof/>
          <w:sz w:val="20"/>
          <w:szCs w:val="20"/>
        </w:rPr>
        <w:t>n</w:t>
      </w:r>
      <w:r w:rsidRPr="00CB0181">
        <w:rPr>
          <w:rFonts w:ascii="Roboto Slab" w:eastAsia="Calibri" w:hAnsi="Roboto Slab" w:cs="Times New Roman"/>
          <w:noProof/>
          <w:sz w:val="20"/>
          <w:szCs w:val="20"/>
        </w:rPr>
        <w:t xml:space="preserve"> Abwertungsdruck: </w:t>
      </w:r>
      <w:r w:rsidR="0018079E" w:rsidRPr="00CB0181">
        <w:rPr>
          <w:rFonts w:ascii="Roboto Slab" w:eastAsia="Calibri" w:hAnsi="Roboto Slab" w:cs="Times New Roman"/>
          <w:noProof/>
          <w:sz w:val="20"/>
          <w:szCs w:val="20"/>
        </w:rPr>
        <w:t>Zum Ersten nahm</w:t>
      </w:r>
      <w:r w:rsidRPr="00CB0181">
        <w:rPr>
          <w:rFonts w:ascii="Roboto Slab" w:eastAsia="Calibri" w:hAnsi="Roboto Slab" w:cs="Times New Roman"/>
          <w:noProof/>
          <w:sz w:val="20"/>
          <w:szCs w:val="20"/>
        </w:rPr>
        <w:t xml:space="preserve"> das Vertrauen internationaler Investoren in die Stabilität der US</w:t>
      </w:r>
      <w:r w:rsidR="00D65797" w:rsidRPr="00CB0181">
        <w:rPr>
          <w:rFonts w:ascii="Roboto Slab" w:eastAsia="Calibri" w:hAnsi="Roboto Slab" w:cs="Times New Roman"/>
          <w:noProof/>
          <w:sz w:val="20"/>
          <w:szCs w:val="20"/>
        </w:rPr>
        <w:t>-</w:t>
      </w:r>
      <w:r w:rsidRPr="00CB0181">
        <w:rPr>
          <w:rFonts w:ascii="Roboto Slab" w:eastAsia="Calibri" w:hAnsi="Roboto Slab" w:cs="Times New Roman"/>
          <w:noProof/>
          <w:sz w:val="20"/>
          <w:szCs w:val="20"/>
        </w:rPr>
        <w:t>Wirtschaft</w:t>
      </w:r>
      <w:r w:rsidR="0018079E" w:rsidRPr="00CB0181">
        <w:rPr>
          <w:rFonts w:ascii="Roboto Slab" w:eastAsia="Calibri" w:hAnsi="Roboto Slab" w:cs="Times New Roman"/>
          <w:noProof/>
          <w:sz w:val="20"/>
          <w:szCs w:val="20"/>
        </w:rPr>
        <w:t xml:space="preserve"> merklich ab</w:t>
      </w:r>
      <w:r w:rsidRPr="00CB0181">
        <w:rPr>
          <w:rFonts w:ascii="Roboto Slab" w:eastAsia="Calibri" w:hAnsi="Roboto Slab" w:cs="Times New Roman"/>
          <w:noProof/>
          <w:sz w:val="20"/>
          <w:szCs w:val="20"/>
        </w:rPr>
        <w:t xml:space="preserve">, </w:t>
      </w:r>
      <w:r w:rsidR="0018079E" w:rsidRPr="00CB0181">
        <w:rPr>
          <w:rFonts w:ascii="Roboto Slab" w:eastAsia="Calibri" w:hAnsi="Roboto Slab" w:cs="Times New Roman"/>
          <w:noProof/>
          <w:sz w:val="20"/>
          <w:szCs w:val="20"/>
        </w:rPr>
        <w:t xml:space="preserve">zum Zweiten </w:t>
      </w:r>
      <w:r w:rsidRPr="00CB0181">
        <w:rPr>
          <w:rFonts w:ascii="Roboto Slab" w:eastAsia="Calibri" w:hAnsi="Roboto Slab" w:cs="Times New Roman"/>
          <w:noProof/>
          <w:sz w:val="20"/>
          <w:szCs w:val="20"/>
        </w:rPr>
        <w:t xml:space="preserve">wirkte die Verschiebung von Kapitalströmen zugunsten europäischer und asiatischer Märkte zusätzlich belastend. </w:t>
      </w:r>
      <w:r w:rsidR="0018079E" w:rsidRPr="00CB0181">
        <w:rPr>
          <w:rFonts w:ascii="Roboto Slab" w:eastAsia="Calibri" w:hAnsi="Roboto Slab" w:cs="Times New Roman"/>
          <w:noProof/>
          <w:sz w:val="20"/>
          <w:szCs w:val="20"/>
        </w:rPr>
        <w:t xml:space="preserve">Als dritter Faktor ist </w:t>
      </w:r>
      <w:r w:rsidRPr="00CB0181">
        <w:rPr>
          <w:rFonts w:ascii="Roboto Slab" w:eastAsia="Calibri" w:hAnsi="Roboto Slab" w:cs="Times New Roman"/>
          <w:noProof/>
          <w:sz w:val="20"/>
          <w:szCs w:val="20"/>
        </w:rPr>
        <w:t>eine Entscheidung der Ratingagentur</w:t>
      </w:r>
      <w:r w:rsidR="0018079E" w:rsidRPr="00CB0181">
        <w:rPr>
          <w:rFonts w:ascii="Roboto Slab" w:eastAsia="Calibri" w:hAnsi="Roboto Slab" w:cs="Times New Roman"/>
          <w:noProof/>
          <w:sz w:val="20"/>
          <w:szCs w:val="20"/>
        </w:rPr>
        <w:t xml:space="preserve"> Moody’s zu nennen</w:t>
      </w:r>
      <w:r w:rsidRPr="00CB0181">
        <w:rPr>
          <w:rFonts w:ascii="Roboto Slab" w:eastAsia="Calibri" w:hAnsi="Roboto Slab" w:cs="Times New Roman"/>
          <w:noProof/>
          <w:sz w:val="20"/>
          <w:szCs w:val="20"/>
        </w:rPr>
        <w:t>: Nachdem bereits in den Vorjahren zwei führende Agenturen die Bonität der Vereinigten Staaten herab</w:t>
      </w:r>
      <w:r w:rsidR="0018079E" w:rsidRPr="00CB0181">
        <w:rPr>
          <w:rFonts w:ascii="Roboto Slab" w:eastAsia="Calibri" w:hAnsi="Roboto Slab" w:cs="Times New Roman"/>
          <w:noProof/>
          <w:sz w:val="20"/>
          <w:szCs w:val="20"/>
        </w:rPr>
        <w:t>ge</w:t>
      </w:r>
      <w:r w:rsidRPr="00CB0181">
        <w:rPr>
          <w:rFonts w:ascii="Roboto Slab" w:eastAsia="Calibri" w:hAnsi="Roboto Slab" w:cs="Times New Roman"/>
          <w:noProof/>
          <w:sz w:val="20"/>
          <w:szCs w:val="20"/>
        </w:rPr>
        <w:t>stuft</w:t>
      </w:r>
      <w:r w:rsidR="0018079E" w:rsidRPr="00CB0181">
        <w:rPr>
          <w:rFonts w:ascii="Roboto Slab" w:eastAsia="Calibri" w:hAnsi="Roboto Slab" w:cs="Times New Roman"/>
          <w:noProof/>
          <w:sz w:val="20"/>
          <w:szCs w:val="20"/>
        </w:rPr>
        <w:t xml:space="preserve"> hatt</w:t>
      </w:r>
      <w:r w:rsidR="003329DD" w:rsidRPr="00CB0181">
        <w:rPr>
          <w:rFonts w:ascii="Roboto Slab" w:eastAsia="Calibri" w:hAnsi="Roboto Slab" w:cs="Times New Roman"/>
          <w:noProof/>
          <w:sz w:val="20"/>
          <w:szCs w:val="20"/>
        </w:rPr>
        <w:t>en</w:t>
      </w:r>
      <w:r w:rsidRPr="00CB0181">
        <w:rPr>
          <w:rFonts w:ascii="Roboto Slab" w:eastAsia="Calibri" w:hAnsi="Roboto Slab" w:cs="Times New Roman"/>
          <w:noProof/>
          <w:sz w:val="20"/>
          <w:szCs w:val="20"/>
        </w:rPr>
        <w:t>, senkte nun auch die letzte der drei großen Ratingagenturen ihr langfristiges Rating für US</w:t>
      </w:r>
      <w:r w:rsidR="0018079E" w:rsidRPr="00CB0181">
        <w:rPr>
          <w:rFonts w:ascii="Roboto Slab" w:eastAsia="Calibri" w:hAnsi="Roboto Slab" w:cs="Times New Roman"/>
          <w:noProof/>
          <w:sz w:val="20"/>
          <w:szCs w:val="20"/>
        </w:rPr>
        <w:t>-</w:t>
      </w:r>
      <w:r w:rsidRPr="00CB0181">
        <w:rPr>
          <w:rFonts w:ascii="Roboto Slab" w:eastAsia="Calibri" w:hAnsi="Roboto Slab" w:cs="Times New Roman"/>
          <w:noProof/>
          <w:sz w:val="20"/>
          <w:szCs w:val="20"/>
        </w:rPr>
        <w:t>Staatsanleihen von „A</w:t>
      </w:r>
      <w:r w:rsidR="0018079E" w:rsidRPr="00CB0181">
        <w:rPr>
          <w:rFonts w:ascii="Roboto Slab" w:eastAsia="Calibri" w:hAnsi="Roboto Slab" w:cs="Times New Roman"/>
          <w:noProof/>
          <w:sz w:val="20"/>
          <w:szCs w:val="20"/>
        </w:rPr>
        <w:t>aa</w:t>
      </w:r>
      <w:r w:rsidRPr="00CB0181">
        <w:rPr>
          <w:rFonts w:ascii="Roboto Slab" w:eastAsia="Calibri" w:hAnsi="Roboto Slab" w:cs="Times New Roman"/>
          <w:noProof/>
          <w:sz w:val="20"/>
          <w:szCs w:val="20"/>
        </w:rPr>
        <w:t>“ auf „A</w:t>
      </w:r>
      <w:r w:rsidR="0018079E" w:rsidRPr="00CB0181">
        <w:rPr>
          <w:rFonts w:ascii="Roboto Slab" w:eastAsia="Calibri" w:hAnsi="Roboto Slab" w:cs="Times New Roman"/>
          <w:noProof/>
          <w:sz w:val="20"/>
          <w:szCs w:val="20"/>
        </w:rPr>
        <w:t>a1</w:t>
      </w:r>
      <w:r w:rsidRPr="00CB0181">
        <w:rPr>
          <w:rFonts w:ascii="Roboto Slab" w:eastAsia="Calibri" w:hAnsi="Roboto Slab" w:cs="Times New Roman"/>
          <w:noProof/>
          <w:sz w:val="20"/>
          <w:szCs w:val="20"/>
        </w:rPr>
        <w:t xml:space="preserve">“. Diese Abstufung begründete </w:t>
      </w:r>
      <w:r w:rsidR="000A2766" w:rsidRPr="00CB0181">
        <w:rPr>
          <w:rFonts w:ascii="Roboto Slab" w:eastAsia="Calibri" w:hAnsi="Roboto Slab" w:cs="Times New Roman"/>
          <w:noProof/>
          <w:sz w:val="20"/>
          <w:szCs w:val="20"/>
        </w:rPr>
        <w:t xml:space="preserve">Moody’s </w:t>
      </w:r>
      <w:r w:rsidRPr="00CB0181">
        <w:rPr>
          <w:rFonts w:ascii="Roboto Slab" w:eastAsia="Calibri" w:hAnsi="Roboto Slab" w:cs="Times New Roman"/>
          <w:noProof/>
          <w:sz w:val="20"/>
          <w:szCs w:val="20"/>
        </w:rPr>
        <w:t xml:space="preserve">vor allem mit der anhaltend hohen </w:t>
      </w:r>
      <w:r w:rsidR="003329DD" w:rsidRPr="00CB0181">
        <w:rPr>
          <w:rFonts w:ascii="Roboto Slab" w:eastAsia="Calibri" w:hAnsi="Roboto Slab" w:cs="Times New Roman"/>
          <w:noProof/>
          <w:sz w:val="20"/>
          <w:szCs w:val="20"/>
        </w:rPr>
        <w:t xml:space="preserve">und weiter zunehmenden </w:t>
      </w:r>
      <w:r w:rsidRPr="00CB0181">
        <w:rPr>
          <w:rFonts w:ascii="Roboto Slab" w:eastAsia="Calibri" w:hAnsi="Roboto Slab" w:cs="Times New Roman"/>
          <w:noProof/>
          <w:sz w:val="20"/>
          <w:szCs w:val="20"/>
        </w:rPr>
        <w:t>Staatsverschuldung sowie der politischen Blockade bei wichtigen Haushaltsfragen.</w:t>
      </w:r>
      <w:r w:rsidR="000A2766" w:rsidRPr="00CB0181">
        <w:rPr>
          <w:rFonts w:ascii="Roboto Slab" w:eastAsia="Calibri" w:hAnsi="Roboto Slab" w:cs="Times New Roman"/>
          <w:noProof/>
          <w:sz w:val="20"/>
          <w:szCs w:val="20"/>
        </w:rPr>
        <w:t xml:space="preserve"> Im Ergebnis wertete der US-Dollar gegenüber dem Euro deutlich ab und fiel auf ein Kursniveau von 0,85 US-Dollar je Euro.</w:t>
      </w:r>
    </w:p>
    <w:p w14:paraId="098FA66A" w14:textId="77777777" w:rsidR="000A2766" w:rsidRPr="00CB0181" w:rsidRDefault="000A2766" w:rsidP="00422F60">
      <w:pPr>
        <w:ind w:left="425" w:right="567"/>
        <w:rPr>
          <w:rFonts w:ascii="Roboto Slab" w:eastAsia="Calibri" w:hAnsi="Roboto Slab" w:cs="Times New Roman"/>
          <w:noProof/>
          <w:sz w:val="20"/>
          <w:szCs w:val="20"/>
        </w:rPr>
      </w:pPr>
    </w:p>
    <w:p w14:paraId="54650AA8" w14:textId="3746716B" w:rsidR="00422F60" w:rsidRPr="00CB0181" w:rsidRDefault="00422F60" w:rsidP="00422F60">
      <w:pPr>
        <w:ind w:left="425"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Insgesamt verdeutlichen diese Entwicklungen die wachsenden strukturellen Risiken der US</w:t>
      </w:r>
      <w:r w:rsidR="000A2766" w:rsidRPr="00CB0181">
        <w:rPr>
          <w:rFonts w:ascii="Roboto Slab" w:eastAsia="Calibri" w:hAnsi="Roboto Slab" w:cs="Times New Roman"/>
          <w:noProof/>
          <w:sz w:val="20"/>
          <w:szCs w:val="20"/>
        </w:rPr>
        <w:t>-</w:t>
      </w:r>
      <w:r w:rsidRPr="00CB0181">
        <w:rPr>
          <w:rFonts w:ascii="Roboto Slab" w:eastAsia="Calibri" w:hAnsi="Roboto Slab" w:cs="Times New Roman"/>
          <w:noProof/>
          <w:sz w:val="20"/>
          <w:szCs w:val="20"/>
        </w:rPr>
        <w:t>Wirtschaft: Neben der realwirtschaftlichen Abkühlung belasten auch steigende Zinsen für Staatsanleihen, eine geschwächte Währung sowie Zweifel an der fiskalpolitischen Tragfähigkeit das Vertrauen von Investoren in den Standort USA. Diese Gemengelage birgt nicht nur konjunkturelle, sondern auch finanzmarktseitige Risiken für die kommenden Quartale</w:t>
      </w:r>
      <w:r w:rsidR="004904D3" w:rsidRPr="00CB0181">
        <w:rPr>
          <w:rFonts w:ascii="Roboto Slab" w:eastAsia="Calibri" w:hAnsi="Roboto Slab" w:cs="Times New Roman"/>
          <w:noProof/>
          <w:sz w:val="20"/>
          <w:szCs w:val="20"/>
        </w:rPr>
        <w:t xml:space="preserve">. </w:t>
      </w:r>
    </w:p>
    <w:p w14:paraId="33FE3FB4" w14:textId="01CD87A9" w:rsidR="00AB7C19" w:rsidRDefault="003846DB" w:rsidP="00422F60">
      <w:pPr>
        <w:ind w:left="425" w:right="567"/>
        <w:rPr>
          <w:rFonts w:ascii="Roboto Slab" w:eastAsia="Calibri" w:hAnsi="Roboto Slab" w:cs="Times New Roman"/>
          <w:noProof/>
          <w:color w:val="215868" w:themeColor="accent5" w:themeShade="80"/>
          <w:sz w:val="20"/>
          <w:szCs w:val="20"/>
        </w:rPr>
      </w:pPr>
      <w:r>
        <w:rPr>
          <w:rFonts w:ascii="Roboto Slab" w:eastAsia="Calibri" w:hAnsi="Roboto Slab" w:cs="Times New Roman"/>
          <w:b/>
          <w:bCs/>
          <w:noProof/>
          <w:color w:val="215868" w:themeColor="accent5" w:themeShade="80"/>
          <w:sz w:val="20"/>
          <w:szCs w:val="20"/>
        </w:rPr>
        <w:drawing>
          <wp:anchor distT="0" distB="0" distL="114300" distR="114300" simplePos="0" relativeHeight="251666944" behindDoc="0" locked="0" layoutInCell="1" allowOverlap="1" wp14:anchorId="1E3E50B3" wp14:editId="479DFAE0">
            <wp:simplePos x="0" y="0"/>
            <wp:positionH relativeFrom="column">
              <wp:posOffset>269875</wp:posOffset>
            </wp:positionH>
            <wp:positionV relativeFrom="paragraph">
              <wp:posOffset>273133</wp:posOffset>
            </wp:positionV>
            <wp:extent cx="2646680" cy="1590675"/>
            <wp:effectExtent l="0" t="0" r="1270" b="9525"/>
            <wp:wrapTopAndBottom/>
            <wp:docPr id="14457879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6680" cy="1590675"/>
                    </a:xfrm>
                    <a:prstGeom prst="rect">
                      <a:avLst/>
                    </a:prstGeom>
                    <a:noFill/>
                  </pic:spPr>
                </pic:pic>
              </a:graphicData>
            </a:graphic>
          </wp:anchor>
        </w:drawing>
      </w:r>
    </w:p>
    <w:p w14:paraId="3D08D844" w14:textId="44DA152B" w:rsidR="002477DA" w:rsidRDefault="000A1482" w:rsidP="003846DB">
      <w:pPr>
        <w:tabs>
          <w:tab w:val="left" w:pos="5502"/>
        </w:tabs>
        <w:ind w:left="425" w:right="567"/>
        <w:rPr>
          <w:rFonts w:ascii="Roboto Slab" w:eastAsia="Calibri" w:hAnsi="Roboto Slab" w:cs="Times New Roman"/>
          <w:noProof/>
          <w:color w:val="215868" w:themeColor="accent5" w:themeShade="80"/>
          <w:sz w:val="20"/>
          <w:szCs w:val="20"/>
        </w:rPr>
      </w:pPr>
      <w:r>
        <w:rPr>
          <w:rFonts w:ascii="Roboto Slab" w:eastAsia="Calibri" w:hAnsi="Roboto Slab" w:cs="Times New Roman"/>
          <w:b/>
          <w:bCs/>
          <w:noProof/>
          <w:color w:val="215868" w:themeColor="accent5" w:themeShade="80"/>
          <w:sz w:val="20"/>
          <w:szCs w:val="20"/>
        </w:rPr>
        <w:drawing>
          <wp:anchor distT="0" distB="0" distL="114300" distR="114300" simplePos="0" relativeHeight="251658752" behindDoc="0" locked="0" layoutInCell="1" allowOverlap="1" wp14:anchorId="7491B60C" wp14:editId="3EECB5F0">
            <wp:simplePos x="0" y="0"/>
            <wp:positionH relativeFrom="column">
              <wp:posOffset>3485515</wp:posOffset>
            </wp:positionH>
            <wp:positionV relativeFrom="paragraph">
              <wp:posOffset>121285</wp:posOffset>
            </wp:positionV>
            <wp:extent cx="2646680" cy="1590675"/>
            <wp:effectExtent l="0" t="0" r="0" b="0"/>
            <wp:wrapTopAndBottom/>
            <wp:docPr id="14931788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590675"/>
                    </a:xfrm>
                    <a:prstGeom prst="rect">
                      <a:avLst/>
                    </a:prstGeom>
                    <a:noFill/>
                  </pic:spPr>
                </pic:pic>
              </a:graphicData>
            </a:graphic>
            <wp14:sizeRelH relativeFrom="margin">
              <wp14:pctWidth>0</wp14:pctWidth>
            </wp14:sizeRelH>
            <wp14:sizeRelV relativeFrom="margin">
              <wp14:pctHeight>0</wp14:pctHeight>
            </wp14:sizeRelV>
          </wp:anchor>
        </w:drawing>
      </w:r>
      <w:r w:rsidR="008F616F" w:rsidRPr="004904D3">
        <w:rPr>
          <w:rFonts w:ascii="Roboto Slab" w:eastAsia="Calibri" w:hAnsi="Roboto Slab" w:cs="Times New Roman"/>
          <w:noProof/>
          <w:color w:val="215868" w:themeColor="accent5" w:themeShade="80"/>
          <w:sz w:val="16"/>
          <w:szCs w:val="16"/>
        </w:rPr>
        <w:t xml:space="preserve">Quelle: </w:t>
      </w:r>
      <w:r w:rsidR="004904D3" w:rsidRPr="004904D3">
        <w:rPr>
          <w:rFonts w:ascii="Roboto Slab" w:eastAsia="Calibri" w:hAnsi="Roboto Slab" w:cs="Times New Roman"/>
          <w:noProof/>
          <w:color w:val="215868" w:themeColor="accent5" w:themeShade="80"/>
          <w:sz w:val="16"/>
          <w:szCs w:val="16"/>
        </w:rPr>
        <w:t>finanzen.net</w:t>
      </w:r>
      <w:r w:rsidR="004904D3">
        <w:rPr>
          <w:rFonts w:ascii="Roboto Slab" w:eastAsia="Calibri" w:hAnsi="Roboto Slab" w:cs="Times New Roman"/>
          <w:noProof/>
          <w:color w:val="215868" w:themeColor="accent5" w:themeShade="80"/>
          <w:sz w:val="16"/>
          <w:szCs w:val="16"/>
        </w:rPr>
        <w:tab/>
        <w:t>Quelle: tradingeconomics.com</w:t>
      </w:r>
    </w:p>
    <w:p w14:paraId="2A13FCF5" w14:textId="5842A228" w:rsidR="00560E75" w:rsidRPr="00CB0181" w:rsidRDefault="00560E75" w:rsidP="003846DB">
      <w:pPr>
        <w:keepNext/>
        <w:spacing w:before="480" w:after="240" w:line="240" w:lineRule="auto"/>
        <w:ind w:left="425" w:right="567"/>
        <w:rPr>
          <w:rFonts w:ascii="Roboto Slab" w:eastAsia="Calibri" w:hAnsi="Roboto Slab" w:cs="Times New Roman"/>
          <w:b/>
          <w:bCs/>
          <w:noProof/>
          <w:sz w:val="20"/>
          <w:szCs w:val="20"/>
        </w:rPr>
      </w:pPr>
      <w:r w:rsidRPr="00CB0181">
        <w:rPr>
          <w:rFonts w:ascii="Roboto Slab" w:eastAsia="Calibri" w:hAnsi="Roboto Slab" w:cs="Times New Roman"/>
          <w:b/>
          <w:bCs/>
          <w:noProof/>
          <w:sz w:val="20"/>
          <w:szCs w:val="20"/>
        </w:rPr>
        <w:t>Entwicklung in Deutschland</w:t>
      </w:r>
    </w:p>
    <w:p w14:paraId="3A788689" w14:textId="09FEEA8D" w:rsidR="00560E75" w:rsidRPr="00CB0181" w:rsidRDefault="000D4373" w:rsidP="00560E75">
      <w:pPr>
        <w:ind w:left="425"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Im Vergleich zu den USA</w:t>
      </w:r>
      <w:r w:rsidR="00605006" w:rsidRPr="00CB0181">
        <w:rPr>
          <w:rFonts w:ascii="Roboto Slab" w:eastAsia="Calibri" w:hAnsi="Roboto Slab" w:cs="Times New Roman"/>
          <w:noProof/>
          <w:sz w:val="20"/>
          <w:szCs w:val="20"/>
        </w:rPr>
        <w:t xml:space="preserve"> </w:t>
      </w:r>
      <w:r w:rsidR="00560E75" w:rsidRPr="00CB0181">
        <w:rPr>
          <w:rFonts w:ascii="Roboto Slab" w:eastAsia="Calibri" w:hAnsi="Roboto Slab" w:cs="Times New Roman"/>
          <w:noProof/>
          <w:sz w:val="20"/>
          <w:szCs w:val="20"/>
        </w:rPr>
        <w:t>präsentiert sich die deutsche Wirtschaft derzeit in einem deutlich robusteren Zustand. So stieg der ifo</w:t>
      </w:r>
      <w:r w:rsidRPr="00CB0181">
        <w:rPr>
          <w:rFonts w:ascii="Cambria Math" w:eastAsia="Calibri" w:hAnsi="Cambria Math" w:cs="Cambria Math"/>
          <w:noProof/>
          <w:sz w:val="20"/>
          <w:szCs w:val="20"/>
        </w:rPr>
        <w:t xml:space="preserve"> </w:t>
      </w:r>
      <w:r w:rsidR="00560E75" w:rsidRPr="00CB0181">
        <w:rPr>
          <w:rFonts w:ascii="Roboto Slab" w:eastAsia="Calibri" w:hAnsi="Roboto Slab" w:cs="Times New Roman"/>
          <w:noProof/>
          <w:sz w:val="20"/>
          <w:szCs w:val="20"/>
        </w:rPr>
        <w:t xml:space="preserve">Geschäftsklimaindex im Juni auf 88,4 Punkte und markierte damit bereits den sechsten monatlichen Anstieg in Folge. Diese Entwicklung speist sich vor allem aus optimistischeren Erwartungen der Unternehmen </w:t>
      </w:r>
      <w:r w:rsidR="00E02755" w:rsidRPr="00CB0181">
        <w:rPr>
          <w:rFonts w:ascii="Roboto Slab" w:eastAsia="Calibri" w:hAnsi="Roboto Slab" w:cs="Times New Roman"/>
          <w:noProof/>
          <w:sz w:val="20"/>
          <w:szCs w:val="20"/>
        </w:rPr>
        <w:t>und einer stabilen</w:t>
      </w:r>
      <w:r w:rsidR="00560E75" w:rsidRPr="00CB0181">
        <w:rPr>
          <w:rFonts w:ascii="Roboto Slab" w:eastAsia="Calibri" w:hAnsi="Roboto Slab" w:cs="Times New Roman"/>
          <w:noProof/>
          <w:sz w:val="20"/>
          <w:szCs w:val="20"/>
        </w:rPr>
        <w:t xml:space="preserve"> Einschätzung der aktuellen Lage. Überraschend positiv fiel zudem das Bruttoinlandsprodukt für das erste Quartal 2025 aus: Mit einem Zuwachs von 0,4</w:t>
      </w:r>
      <w:r w:rsidR="00560E75" w:rsidRPr="00CB0181">
        <w:rPr>
          <w:rFonts w:ascii="Times New Roman" w:eastAsia="Calibri" w:hAnsi="Times New Roman" w:cs="Times New Roman"/>
          <w:noProof/>
          <w:sz w:val="20"/>
          <w:szCs w:val="20"/>
        </w:rPr>
        <w:t> </w:t>
      </w:r>
      <w:r w:rsidR="00560E75" w:rsidRPr="00CB0181">
        <w:rPr>
          <w:rFonts w:ascii="Roboto Slab" w:eastAsia="Calibri" w:hAnsi="Roboto Slab" w:cs="Times New Roman"/>
          <w:noProof/>
          <w:sz w:val="20"/>
          <w:szCs w:val="20"/>
        </w:rPr>
        <w:t xml:space="preserve">% gegenüber dem Vorquartal übertraf die deutsche Wirtschaft die meisten Prognosen. Wesentliche Wachstumsimpulse gingen von Exporten aus, </w:t>
      </w:r>
      <w:r w:rsidR="00560E75" w:rsidRPr="00CB0181">
        <w:rPr>
          <w:rFonts w:ascii="Roboto Slab" w:eastAsia="Calibri" w:hAnsi="Roboto Slab" w:cs="Times New Roman"/>
          <w:noProof/>
          <w:sz w:val="20"/>
          <w:szCs w:val="20"/>
        </w:rPr>
        <w:lastRenderedPageBreak/>
        <w:t>die ihrerseits durch Vorzieheffekte vor den drohenden US</w:t>
      </w:r>
      <w:r w:rsidR="00560E75" w:rsidRPr="00CB0181">
        <w:rPr>
          <w:rFonts w:ascii="Cambria Math" w:eastAsia="Calibri" w:hAnsi="Cambria Math" w:cs="Cambria Math"/>
          <w:noProof/>
          <w:sz w:val="20"/>
          <w:szCs w:val="20"/>
        </w:rPr>
        <w:t>‑</w:t>
      </w:r>
      <w:r w:rsidR="00560E75" w:rsidRPr="00CB0181">
        <w:rPr>
          <w:rFonts w:ascii="Roboto Slab" w:eastAsia="Calibri" w:hAnsi="Roboto Slab" w:cs="Times New Roman"/>
          <w:noProof/>
          <w:sz w:val="20"/>
          <w:szCs w:val="20"/>
        </w:rPr>
        <w:t>Strafzöllen angetrieben wurden. Ergänzend hierzu verzeichneten auch Konsumausgaben und Investitionen leichte Zuwächse.</w:t>
      </w:r>
    </w:p>
    <w:p w14:paraId="54B3DDC4" w14:textId="546F0D0B" w:rsidR="000D4373" w:rsidRDefault="003846DB" w:rsidP="00560E75">
      <w:pPr>
        <w:ind w:left="425" w:right="567"/>
        <w:rPr>
          <w:rFonts w:ascii="Roboto Slab" w:eastAsia="Calibri" w:hAnsi="Roboto Slab" w:cs="Times New Roman"/>
          <w:noProof/>
          <w:color w:val="215868" w:themeColor="accent5" w:themeShade="80"/>
          <w:sz w:val="20"/>
          <w:szCs w:val="20"/>
        </w:rPr>
      </w:pPr>
      <w:r>
        <w:rPr>
          <w:rFonts w:ascii="Roboto Slab" w:eastAsia="Calibri" w:hAnsi="Roboto Slab" w:cs="Times New Roman"/>
          <w:noProof/>
          <w:color w:val="215868" w:themeColor="accent5" w:themeShade="80"/>
          <w:sz w:val="20"/>
          <w:szCs w:val="20"/>
        </w:rPr>
        <w:drawing>
          <wp:anchor distT="0" distB="0" distL="114300" distR="114300" simplePos="0" relativeHeight="251661824" behindDoc="0" locked="0" layoutInCell="1" allowOverlap="1" wp14:anchorId="1B3D470E" wp14:editId="39D335EE">
            <wp:simplePos x="0" y="0"/>
            <wp:positionH relativeFrom="column">
              <wp:posOffset>1213927</wp:posOffset>
            </wp:positionH>
            <wp:positionV relativeFrom="paragraph">
              <wp:posOffset>260985</wp:posOffset>
            </wp:positionV>
            <wp:extent cx="3844290" cy="2310765"/>
            <wp:effectExtent l="0" t="0" r="3810" b="635"/>
            <wp:wrapTopAndBottom/>
            <wp:docPr id="139171650" name="Grafik 4" descr="Ein Bild, das Text, Screenshot, Reihe,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1650" name="Grafik 4" descr="Ein Bild, das Text, Screenshot, Reihe, Diagramm enthält.&#10;&#10;KI-generierte Inhalte können fehlerhaft s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4290" cy="2310765"/>
                    </a:xfrm>
                    <a:prstGeom prst="rect">
                      <a:avLst/>
                    </a:prstGeom>
                    <a:noFill/>
                  </pic:spPr>
                </pic:pic>
              </a:graphicData>
            </a:graphic>
            <wp14:sizeRelH relativeFrom="margin">
              <wp14:pctWidth>0</wp14:pctWidth>
            </wp14:sizeRelH>
            <wp14:sizeRelV relativeFrom="margin">
              <wp14:pctHeight>0</wp14:pctHeight>
            </wp14:sizeRelV>
          </wp:anchor>
        </w:drawing>
      </w:r>
    </w:p>
    <w:p w14:paraId="75CB2051" w14:textId="7A059BB3" w:rsidR="003352E8" w:rsidRDefault="003352E8" w:rsidP="003846DB">
      <w:pPr>
        <w:tabs>
          <w:tab w:val="left" w:pos="1806"/>
        </w:tabs>
        <w:ind w:left="425" w:right="567"/>
        <w:rPr>
          <w:rFonts w:ascii="Roboto Slab" w:eastAsia="Calibri" w:hAnsi="Roboto Slab" w:cs="Times New Roman"/>
          <w:noProof/>
          <w:color w:val="215868" w:themeColor="accent5" w:themeShade="80"/>
          <w:sz w:val="20"/>
          <w:szCs w:val="20"/>
        </w:rPr>
      </w:pPr>
      <w:r>
        <w:rPr>
          <w:rFonts w:ascii="Roboto Slab" w:eastAsia="Calibri" w:hAnsi="Roboto Slab" w:cs="Times New Roman"/>
          <w:noProof/>
          <w:color w:val="215868" w:themeColor="accent5" w:themeShade="80"/>
          <w:sz w:val="20"/>
          <w:szCs w:val="20"/>
        </w:rPr>
        <w:tab/>
      </w:r>
      <w:r w:rsidR="003846DB">
        <w:rPr>
          <w:rFonts w:ascii="Roboto Slab" w:eastAsia="Calibri" w:hAnsi="Roboto Slab" w:cs="Times New Roman"/>
          <w:noProof/>
          <w:color w:val="215868" w:themeColor="accent5" w:themeShade="80"/>
          <w:sz w:val="20"/>
          <w:szCs w:val="20"/>
        </w:rPr>
        <w:t xml:space="preserve">   </w:t>
      </w:r>
      <w:r w:rsidRPr="008E4B42">
        <w:rPr>
          <w:rFonts w:ascii="Roboto Slab" w:eastAsia="Calibri" w:hAnsi="Roboto Slab" w:cs="Times New Roman"/>
          <w:noProof/>
          <w:color w:val="215868" w:themeColor="accent5" w:themeShade="80"/>
          <w:sz w:val="16"/>
          <w:szCs w:val="16"/>
        </w:rPr>
        <w:t xml:space="preserve">Quelle: </w:t>
      </w:r>
      <w:r w:rsidR="008E4B42" w:rsidRPr="008E4B42">
        <w:rPr>
          <w:rFonts w:ascii="Roboto Slab" w:eastAsia="Calibri" w:hAnsi="Roboto Slab" w:cs="Times New Roman"/>
          <w:noProof/>
          <w:color w:val="215868" w:themeColor="accent5" w:themeShade="80"/>
          <w:sz w:val="16"/>
          <w:szCs w:val="16"/>
        </w:rPr>
        <w:t>ifo</w:t>
      </w:r>
      <w:r w:rsidR="000D4373">
        <w:rPr>
          <w:rFonts w:ascii="Roboto Slab" w:eastAsia="Calibri" w:hAnsi="Roboto Slab" w:cs="Times New Roman"/>
          <w:noProof/>
          <w:color w:val="215868" w:themeColor="accent5" w:themeShade="80"/>
          <w:sz w:val="16"/>
          <w:szCs w:val="16"/>
        </w:rPr>
        <w:t xml:space="preserve"> </w:t>
      </w:r>
      <w:r w:rsidR="008E4B42" w:rsidRPr="008E4B42">
        <w:rPr>
          <w:rFonts w:ascii="Roboto Slab" w:eastAsia="Calibri" w:hAnsi="Roboto Slab" w:cs="Times New Roman"/>
          <w:noProof/>
          <w:color w:val="215868" w:themeColor="accent5" w:themeShade="80"/>
          <w:sz w:val="16"/>
          <w:szCs w:val="16"/>
        </w:rPr>
        <w:t>Institut</w:t>
      </w:r>
    </w:p>
    <w:p w14:paraId="00FF4FF7" w14:textId="77777777" w:rsidR="003352E8" w:rsidRDefault="003352E8" w:rsidP="00560E75">
      <w:pPr>
        <w:ind w:left="425" w:right="567"/>
        <w:rPr>
          <w:rFonts w:ascii="Roboto Slab" w:eastAsia="Calibri" w:hAnsi="Roboto Slab" w:cs="Times New Roman"/>
          <w:noProof/>
          <w:color w:val="215868" w:themeColor="accent5" w:themeShade="80"/>
          <w:sz w:val="20"/>
          <w:szCs w:val="20"/>
        </w:rPr>
      </w:pPr>
    </w:p>
    <w:p w14:paraId="3CCDF77B" w14:textId="508502D2" w:rsidR="00560E75" w:rsidRPr="00CB0181" w:rsidRDefault="00560E75" w:rsidP="00560E75">
      <w:pPr>
        <w:ind w:left="425"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 xml:space="preserve">Ein weiterer Stabilitätsfaktor ist die erfreuliche Entwicklung der Inflation: Im Juni sank die </w:t>
      </w:r>
      <w:r w:rsidR="00AA5215" w:rsidRPr="00CB0181">
        <w:rPr>
          <w:rFonts w:ascii="Roboto Slab" w:eastAsia="Calibri" w:hAnsi="Roboto Slab" w:cs="Times New Roman"/>
          <w:noProof/>
          <w:sz w:val="20"/>
          <w:szCs w:val="20"/>
        </w:rPr>
        <w:t xml:space="preserve">Teuerungsrate </w:t>
      </w:r>
      <w:r w:rsidRPr="00CB0181">
        <w:rPr>
          <w:rFonts w:ascii="Roboto Slab" w:eastAsia="Calibri" w:hAnsi="Roboto Slab" w:cs="Times New Roman"/>
          <w:noProof/>
          <w:sz w:val="20"/>
          <w:szCs w:val="20"/>
        </w:rPr>
        <w:t>in Deutschland auf 2,0</w:t>
      </w:r>
      <w:r w:rsidRPr="00CB0181">
        <w:rPr>
          <w:rFonts w:ascii="Times New Roman" w:eastAsia="Calibri" w:hAnsi="Times New Roman" w:cs="Times New Roman"/>
          <w:noProof/>
          <w:sz w:val="20"/>
          <w:szCs w:val="20"/>
        </w:rPr>
        <w:t> </w:t>
      </w:r>
      <w:r w:rsidRPr="00CB0181">
        <w:rPr>
          <w:rFonts w:ascii="Roboto Slab" w:eastAsia="Calibri" w:hAnsi="Roboto Slab" w:cs="Times New Roman"/>
          <w:noProof/>
          <w:sz w:val="20"/>
          <w:szCs w:val="20"/>
        </w:rPr>
        <w:t xml:space="preserve">% </w:t>
      </w:r>
      <w:r w:rsidR="000F03C0" w:rsidRPr="00CB0181">
        <w:rPr>
          <w:rFonts w:ascii="Roboto Slab" w:eastAsia="Calibri" w:hAnsi="Roboto Slab" w:cs="Times New Roman"/>
          <w:noProof/>
          <w:sz w:val="20"/>
          <w:szCs w:val="20"/>
        </w:rPr>
        <w:t xml:space="preserve">im Vergleich zum Vorjahresmonat </w:t>
      </w:r>
      <w:r w:rsidRPr="00CB0181">
        <w:rPr>
          <w:rFonts w:ascii="Roboto Slab" w:eastAsia="Calibri" w:hAnsi="Roboto Slab" w:cs="Times New Roman"/>
          <w:noProof/>
          <w:sz w:val="20"/>
          <w:szCs w:val="20"/>
        </w:rPr>
        <w:t xml:space="preserve">und erreichte damit exakt das Ziel der Europäischen Zentralbank. Im Mai hatte </w:t>
      </w:r>
      <w:r w:rsidR="00AA5215" w:rsidRPr="00CB0181">
        <w:rPr>
          <w:rFonts w:ascii="Roboto Slab" w:eastAsia="Calibri" w:hAnsi="Roboto Slab" w:cs="Times New Roman"/>
          <w:noProof/>
          <w:sz w:val="20"/>
          <w:szCs w:val="20"/>
        </w:rPr>
        <w:t xml:space="preserve">der Kaufkraftverlust </w:t>
      </w:r>
      <w:r w:rsidRPr="00CB0181">
        <w:rPr>
          <w:rFonts w:ascii="Roboto Slab" w:eastAsia="Calibri" w:hAnsi="Roboto Slab" w:cs="Times New Roman"/>
          <w:noProof/>
          <w:sz w:val="20"/>
          <w:szCs w:val="20"/>
        </w:rPr>
        <w:t>noch 2,1</w:t>
      </w:r>
      <w:r w:rsidRPr="00CB0181">
        <w:rPr>
          <w:rFonts w:ascii="Times New Roman" w:eastAsia="Calibri" w:hAnsi="Times New Roman" w:cs="Times New Roman"/>
          <w:noProof/>
          <w:sz w:val="20"/>
          <w:szCs w:val="20"/>
        </w:rPr>
        <w:t> </w:t>
      </w:r>
      <w:r w:rsidRPr="00CB0181">
        <w:rPr>
          <w:rFonts w:ascii="Roboto Slab" w:eastAsia="Calibri" w:hAnsi="Roboto Slab" w:cs="Times New Roman"/>
          <w:noProof/>
          <w:sz w:val="20"/>
          <w:szCs w:val="20"/>
        </w:rPr>
        <w:t xml:space="preserve">% </w:t>
      </w:r>
      <w:r w:rsidR="00E02755" w:rsidRPr="00CB0181">
        <w:rPr>
          <w:rFonts w:ascii="Roboto Slab" w:eastAsia="Calibri" w:hAnsi="Roboto Slab" w:cs="Times New Roman"/>
          <w:noProof/>
          <w:sz w:val="20"/>
          <w:szCs w:val="20"/>
        </w:rPr>
        <w:t>betragen</w:t>
      </w:r>
      <w:r w:rsidRPr="00CB0181">
        <w:rPr>
          <w:rFonts w:ascii="Roboto Slab" w:eastAsia="Calibri" w:hAnsi="Roboto Slab" w:cs="Times New Roman"/>
          <w:noProof/>
          <w:sz w:val="20"/>
          <w:szCs w:val="20"/>
        </w:rPr>
        <w:t>. Allerdings liegt die Kerninflation, die schwankungsanfällige Preise für Energie und Lebensmittel ausklammert, weiterhin bei 2,7</w:t>
      </w:r>
      <w:r w:rsidRPr="00CB0181">
        <w:rPr>
          <w:rFonts w:ascii="Times New Roman" w:eastAsia="Calibri" w:hAnsi="Times New Roman" w:cs="Times New Roman"/>
          <w:noProof/>
          <w:sz w:val="20"/>
          <w:szCs w:val="20"/>
        </w:rPr>
        <w:t> </w:t>
      </w:r>
      <w:r w:rsidRPr="00CB0181">
        <w:rPr>
          <w:rFonts w:ascii="Roboto Slab" w:eastAsia="Calibri" w:hAnsi="Roboto Slab" w:cs="Times New Roman"/>
          <w:noProof/>
          <w:sz w:val="20"/>
          <w:szCs w:val="20"/>
        </w:rPr>
        <w:t xml:space="preserve">% und signalisiert damit einen nach wie vor bestehenden Preisauftrieb insbesondere im Dienstleistungssektor. Vor diesem Hintergrund senkte die EZB im zweiten Quartal ihre Leitzinsen in zwei Schritten: </w:t>
      </w:r>
      <w:r w:rsidR="00AA5215" w:rsidRPr="00CB0181">
        <w:rPr>
          <w:rFonts w:ascii="Roboto Slab" w:eastAsia="Calibri" w:hAnsi="Roboto Slab" w:cs="Times New Roman"/>
          <w:noProof/>
          <w:sz w:val="20"/>
          <w:szCs w:val="20"/>
        </w:rPr>
        <w:t>i</w:t>
      </w:r>
      <w:r w:rsidRPr="00CB0181">
        <w:rPr>
          <w:rFonts w:ascii="Roboto Slab" w:eastAsia="Calibri" w:hAnsi="Roboto Slab" w:cs="Times New Roman"/>
          <w:noProof/>
          <w:sz w:val="20"/>
          <w:szCs w:val="20"/>
        </w:rPr>
        <w:t>m April zunächst auf 2,25</w:t>
      </w:r>
      <w:r w:rsidRPr="00CB0181">
        <w:rPr>
          <w:rFonts w:ascii="Times New Roman" w:eastAsia="Calibri" w:hAnsi="Times New Roman" w:cs="Times New Roman"/>
          <w:noProof/>
          <w:sz w:val="20"/>
          <w:szCs w:val="20"/>
        </w:rPr>
        <w:t> </w:t>
      </w:r>
      <w:r w:rsidRPr="00CB0181">
        <w:rPr>
          <w:rFonts w:ascii="Roboto Slab" w:eastAsia="Calibri" w:hAnsi="Roboto Slab" w:cs="Times New Roman"/>
          <w:noProof/>
          <w:sz w:val="20"/>
          <w:szCs w:val="20"/>
        </w:rPr>
        <w:t>% und schließlich Anfang Juni auf 2,0</w:t>
      </w:r>
      <w:r w:rsidRPr="00CB0181">
        <w:rPr>
          <w:rFonts w:ascii="Times New Roman" w:eastAsia="Calibri" w:hAnsi="Times New Roman" w:cs="Times New Roman"/>
          <w:noProof/>
          <w:sz w:val="20"/>
          <w:szCs w:val="20"/>
        </w:rPr>
        <w:t> </w:t>
      </w:r>
      <w:r w:rsidRPr="00CB0181">
        <w:rPr>
          <w:rFonts w:ascii="Roboto Slab" w:eastAsia="Calibri" w:hAnsi="Roboto Slab" w:cs="Times New Roman"/>
          <w:noProof/>
          <w:sz w:val="20"/>
          <w:szCs w:val="20"/>
        </w:rPr>
        <w:t xml:space="preserve">%. </w:t>
      </w:r>
    </w:p>
    <w:p w14:paraId="4C34A244" w14:textId="77777777" w:rsidR="000D4373" w:rsidRDefault="000D4373" w:rsidP="00560E75">
      <w:pPr>
        <w:ind w:left="425" w:right="567"/>
        <w:rPr>
          <w:rFonts w:ascii="Roboto Slab" w:eastAsia="Calibri" w:hAnsi="Roboto Slab" w:cs="Times New Roman"/>
          <w:noProof/>
          <w:color w:val="215868" w:themeColor="accent5" w:themeShade="80"/>
          <w:sz w:val="20"/>
          <w:szCs w:val="20"/>
        </w:rPr>
      </w:pPr>
    </w:p>
    <w:p w14:paraId="56BAC79A" w14:textId="6FF77FFA" w:rsidR="00626E62" w:rsidRPr="002477DA" w:rsidRDefault="00626E62" w:rsidP="003846DB">
      <w:pPr>
        <w:tabs>
          <w:tab w:val="left" w:pos="1946"/>
        </w:tabs>
        <w:ind w:left="425" w:right="567"/>
        <w:rPr>
          <w:rFonts w:ascii="Roboto Slab" w:eastAsia="Calibri" w:hAnsi="Roboto Slab" w:cs="Times New Roman"/>
          <w:noProof/>
          <w:color w:val="215868" w:themeColor="accent5" w:themeShade="80"/>
          <w:sz w:val="16"/>
          <w:szCs w:val="16"/>
        </w:rPr>
      </w:pPr>
      <w:r>
        <w:rPr>
          <w:rFonts w:ascii="Roboto Slab" w:eastAsia="Calibri" w:hAnsi="Roboto Slab" w:cs="Times New Roman"/>
          <w:noProof/>
          <w:color w:val="215868" w:themeColor="accent5" w:themeShade="80"/>
          <w:sz w:val="20"/>
          <w:szCs w:val="20"/>
        </w:rPr>
        <w:drawing>
          <wp:anchor distT="0" distB="0" distL="114300" distR="114300" simplePos="0" relativeHeight="251662848" behindDoc="0" locked="0" layoutInCell="1" allowOverlap="1" wp14:anchorId="33289C96" wp14:editId="35F43A97">
            <wp:simplePos x="0" y="0"/>
            <wp:positionH relativeFrom="column">
              <wp:posOffset>1231265</wp:posOffset>
            </wp:positionH>
            <wp:positionV relativeFrom="paragraph">
              <wp:posOffset>114300</wp:posOffset>
            </wp:positionV>
            <wp:extent cx="3844290" cy="2310765"/>
            <wp:effectExtent l="0" t="0" r="3810" b="635"/>
            <wp:wrapTopAndBottom/>
            <wp:docPr id="332321210" name="Grafik 5" descr="Ein Bild, das Text, Reihe, Schrift,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21210" name="Grafik 5" descr="Ein Bild, das Text, Reihe, Schrift, Diagramm enthält.&#10;&#10;KI-generierte Inhalte können fehlerhaft s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4290" cy="2310765"/>
                    </a:xfrm>
                    <a:prstGeom prst="rect">
                      <a:avLst/>
                    </a:prstGeom>
                    <a:noFill/>
                  </pic:spPr>
                </pic:pic>
              </a:graphicData>
            </a:graphic>
            <wp14:sizeRelH relativeFrom="margin">
              <wp14:pctWidth>0</wp14:pctWidth>
            </wp14:sizeRelH>
            <wp14:sizeRelV relativeFrom="margin">
              <wp14:pctHeight>0</wp14:pctHeight>
            </wp14:sizeRelV>
          </wp:anchor>
        </w:drawing>
      </w:r>
      <w:r w:rsidR="002477DA">
        <w:rPr>
          <w:rFonts w:ascii="Roboto Slab" w:eastAsia="Calibri" w:hAnsi="Roboto Slab" w:cs="Times New Roman"/>
          <w:noProof/>
          <w:color w:val="215868" w:themeColor="accent5" w:themeShade="80"/>
          <w:sz w:val="16"/>
          <w:szCs w:val="16"/>
        </w:rPr>
        <w:tab/>
      </w:r>
      <w:r w:rsidRPr="002477DA">
        <w:rPr>
          <w:rFonts w:ascii="Roboto Slab" w:eastAsia="Calibri" w:hAnsi="Roboto Slab" w:cs="Times New Roman"/>
          <w:noProof/>
          <w:color w:val="215868" w:themeColor="accent5" w:themeShade="80"/>
          <w:sz w:val="16"/>
          <w:szCs w:val="16"/>
        </w:rPr>
        <w:t>Quelle: tradingeconomics.com</w:t>
      </w:r>
    </w:p>
    <w:p w14:paraId="4AFB5CF2" w14:textId="77777777" w:rsidR="000D4373" w:rsidRDefault="000D4373" w:rsidP="00560E75">
      <w:pPr>
        <w:spacing w:line="240" w:lineRule="auto"/>
        <w:ind w:left="425" w:right="567"/>
        <w:rPr>
          <w:rFonts w:ascii="Roboto Slab" w:eastAsia="Calibri" w:hAnsi="Roboto Slab" w:cs="Times New Roman"/>
          <w:noProof/>
          <w:color w:val="215868" w:themeColor="accent5" w:themeShade="80"/>
          <w:sz w:val="20"/>
          <w:szCs w:val="20"/>
        </w:rPr>
      </w:pPr>
    </w:p>
    <w:p w14:paraId="2CDC53BF" w14:textId="77777777" w:rsidR="00B81D22" w:rsidRDefault="00B81D22" w:rsidP="00560E75">
      <w:pPr>
        <w:spacing w:line="240" w:lineRule="auto"/>
        <w:ind w:left="425" w:right="567"/>
        <w:rPr>
          <w:rFonts w:ascii="Roboto Slab" w:eastAsia="Calibri" w:hAnsi="Roboto Slab" w:cs="Times New Roman"/>
          <w:noProof/>
          <w:sz w:val="20"/>
          <w:szCs w:val="20"/>
        </w:rPr>
      </w:pPr>
    </w:p>
    <w:p w14:paraId="0D23FCFB" w14:textId="18987C11" w:rsidR="009E05A4" w:rsidRPr="00CB0181" w:rsidRDefault="00560E75" w:rsidP="00560E75">
      <w:pPr>
        <w:spacing w:line="240" w:lineRule="auto"/>
        <w:ind w:left="425"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Insgesamt ergibt sich somit für das zweite Quartal 2025 ein differenziertes Bild: Der globale Handelsstreit hat die Märkte kurzfristig erheblich belastet, bevor eine teilweise Entspannung zu einer kräftigen Erholung führte – vor allem in Europa. Die US</w:t>
      </w:r>
      <w:r w:rsidRPr="00CB0181">
        <w:rPr>
          <w:rFonts w:ascii="Cambria Math" w:eastAsia="Calibri" w:hAnsi="Cambria Math" w:cs="Cambria Math"/>
          <w:noProof/>
          <w:sz w:val="20"/>
          <w:szCs w:val="20"/>
        </w:rPr>
        <w:t>‑</w:t>
      </w:r>
      <w:r w:rsidRPr="00CB0181">
        <w:rPr>
          <w:rFonts w:ascii="Roboto Slab" w:eastAsia="Calibri" w:hAnsi="Roboto Slab" w:cs="Times New Roman"/>
          <w:noProof/>
          <w:sz w:val="20"/>
          <w:szCs w:val="20"/>
        </w:rPr>
        <w:t xml:space="preserve">Wirtschaft leidet hingegen stärker unter den Folgen dieser Handelskonflikte und zeigt Anzeichen einer nachlassenden Dynamik, während sich die deutsche Konjunktur bislang widerstandsfähig zeigt. Die weitere Entwicklung wird maßgeblich davon abhängen, ob es gelingt, die handelspolitischen Spannungen dauerhaft einzudämmen, wie sich die Inflationsdynamik gestaltet und </w:t>
      </w:r>
      <w:r w:rsidR="00A064D7" w:rsidRPr="00CB0181">
        <w:rPr>
          <w:rFonts w:ascii="Roboto Slab" w:eastAsia="Calibri" w:hAnsi="Roboto Slab" w:cs="Times New Roman"/>
          <w:noProof/>
          <w:sz w:val="20"/>
          <w:szCs w:val="20"/>
        </w:rPr>
        <w:t xml:space="preserve">inwieweit </w:t>
      </w:r>
      <w:r w:rsidRPr="00CB0181">
        <w:rPr>
          <w:rFonts w:ascii="Roboto Slab" w:eastAsia="Calibri" w:hAnsi="Roboto Slab" w:cs="Times New Roman"/>
          <w:noProof/>
          <w:sz w:val="20"/>
          <w:szCs w:val="20"/>
        </w:rPr>
        <w:t>die Geldpolitik der EZB sowie der US</w:t>
      </w:r>
      <w:r w:rsidRPr="00CB0181">
        <w:rPr>
          <w:rFonts w:ascii="Cambria Math" w:eastAsia="Calibri" w:hAnsi="Cambria Math" w:cs="Cambria Math"/>
          <w:noProof/>
          <w:sz w:val="20"/>
          <w:szCs w:val="20"/>
        </w:rPr>
        <w:t>‑</w:t>
      </w:r>
      <w:r w:rsidRPr="00CB0181">
        <w:rPr>
          <w:rFonts w:ascii="Roboto Slab" w:eastAsia="Calibri" w:hAnsi="Roboto Slab" w:cs="Times New Roman"/>
          <w:noProof/>
          <w:sz w:val="20"/>
          <w:szCs w:val="20"/>
        </w:rPr>
        <w:t xml:space="preserve">Notenbank unterstützend wirken kann. Für Anleger bleibt daher ein differenzierter </w:t>
      </w:r>
      <w:r w:rsidRPr="00CB0181">
        <w:rPr>
          <w:rFonts w:ascii="Roboto Slab" w:eastAsia="Calibri" w:hAnsi="Roboto Slab" w:cs="Times New Roman"/>
          <w:noProof/>
          <w:sz w:val="20"/>
          <w:szCs w:val="20"/>
        </w:rPr>
        <w:lastRenderedPageBreak/>
        <w:t>Blick auf Regionen und Branchen unerlässlich, um Chancen zu erkennen und Risiken angemessen zu steuern.</w:t>
      </w:r>
      <w:r w:rsidR="00D54929" w:rsidRPr="00CB0181">
        <w:rPr>
          <w:rFonts w:ascii="Roboto Slab" w:eastAsia="Calibri" w:hAnsi="Roboto Slab" w:cs="Times New Roman"/>
          <w:noProof/>
          <w:sz w:val="20"/>
          <w:szCs w:val="20"/>
        </w:rPr>
        <w:t xml:space="preserve"> </w:t>
      </w:r>
    </w:p>
    <w:p w14:paraId="5A2A0D1A" w14:textId="0B79407D" w:rsidR="009E05A4" w:rsidRPr="00CB0181" w:rsidRDefault="009E05A4" w:rsidP="003846DB">
      <w:pPr>
        <w:keepNext/>
        <w:spacing w:before="480" w:after="240" w:line="240" w:lineRule="auto"/>
        <w:ind w:left="425" w:right="567"/>
        <w:rPr>
          <w:rFonts w:ascii="Roboto Slab" w:eastAsia="Calibri" w:hAnsi="Roboto Slab" w:cs="Times New Roman"/>
          <w:b/>
          <w:bCs/>
          <w:noProof/>
          <w:sz w:val="20"/>
          <w:szCs w:val="20"/>
        </w:rPr>
      </w:pPr>
      <w:r w:rsidRPr="00CB0181">
        <w:rPr>
          <w:rFonts w:ascii="Roboto Slab" w:eastAsia="Calibri" w:hAnsi="Roboto Slab" w:cs="Times New Roman"/>
          <w:b/>
          <w:bCs/>
          <w:noProof/>
          <w:sz w:val="20"/>
          <w:szCs w:val="20"/>
        </w:rPr>
        <w:t>Gold und Öl</w:t>
      </w:r>
    </w:p>
    <w:p w14:paraId="0E545A9B" w14:textId="030CA638" w:rsidR="00E91564" w:rsidRPr="00CB0181" w:rsidRDefault="0085208A" w:rsidP="00E91564">
      <w:pPr>
        <w:spacing w:line="240" w:lineRule="auto"/>
        <w:ind w:left="426"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Die Ölpreise</w:t>
      </w:r>
      <w:r w:rsidR="00E91564" w:rsidRPr="00CB0181">
        <w:rPr>
          <w:rFonts w:ascii="Roboto Slab" w:eastAsia="Calibri" w:hAnsi="Roboto Slab" w:cs="Times New Roman"/>
          <w:noProof/>
          <w:sz w:val="20"/>
          <w:szCs w:val="20"/>
        </w:rPr>
        <w:t xml:space="preserve"> </w:t>
      </w:r>
      <w:r w:rsidRPr="00CB0181">
        <w:rPr>
          <w:rFonts w:ascii="Roboto Slab" w:eastAsia="Calibri" w:hAnsi="Roboto Slab" w:cs="Times New Roman"/>
          <w:noProof/>
          <w:sz w:val="20"/>
          <w:szCs w:val="20"/>
        </w:rPr>
        <w:t xml:space="preserve">zeigten sich im zweiten Quartal 2025 </w:t>
      </w:r>
      <w:r w:rsidR="00E91564" w:rsidRPr="00CB0181">
        <w:rPr>
          <w:rFonts w:ascii="Roboto Slab" w:eastAsia="Calibri" w:hAnsi="Roboto Slab" w:cs="Times New Roman"/>
          <w:noProof/>
          <w:sz w:val="20"/>
          <w:szCs w:val="20"/>
        </w:rPr>
        <w:t xml:space="preserve">deutlich von geopolitischen Risiken beeinflusst. Insbesondere die kurzfristige Eskalation des Konflikts zwischen Israel und dem Iran im Juni führte zu </w:t>
      </w:r>
      <w:r w:rsidRPr="00CB0181">
        <w:rPr>
          <w:rFonts w:ascii="Roboto Slab" w:eastAsia="Calibri" w:hAnsi="Roboto Slab" w:cs="Times New Roman"/>
          <w:noProof/>
          <w:sz w:val="20"/>
          <w:szCs w:val="20"/>
        </w:rPr>
        <w:t xml:space="preserve">markanten </w:t>
      </w:r>
      <w:r w:rsidR="00E91564" w:rsidRPr="00CB0181">
        <w:rPr>
          <w:rFonts w:ascii="Roboto Slab" w:eastAsia="Calibri" w:hAnsi="Roboto Slab" w:cs="Times New Roman"/>
          <w:noProof/>
          <w:sz w:val="20"/>
          <w:szCs w:val="20"/>
        </w:rPr>
        <w:t xml:space="preserve">Marktbewegungen: Die Sorge vor möglichen Störungen der Förder- und Transportwege im Nahen Osten ließ die Ölpreise zunächst </w:t>
      </w:r>
      <w:r w:rsidRPr="00CB0181">
        <w:rPr>
          <w:rFonts w:ascii="Roboto Slab" w:eastAsia="Calibri" w:hAnsi="Roboto Slab" w:cs="Times New Roman"/>
          <w:noProof/>
          <w:sz w:val="20"/>
          <w:szCs w:val="20"/>
        </w:rPr>
        <w:t xml:space="preserve">kräftig </w:t>
      </w:r>
      <w:r w:rsidR="00E91564" w:rsidRPr="00CB0181">
        <w:rPr>
          <w:rFonts w:ascii="Roboto Slab" w:eastAsia="Calibri" w:hAnsi="Roboto Slab" w:cs="Times New Roman"/>
          <w:noProof/>
          <w:sz w:val="20"/>
          <w:szCs w:val="20"/>
        </w:rPr>
        <w:t>steigen. Der Preis für die Nordseesorte Brent kletterte zeitweise über die Marke von 80 US-Dollar je Barrel</w:t>
      </w:r>
      <w:r w:rsidRPr="00CB0181">
        <w:rPr>
          <w:rFonts w:ascii="Roboto Slab" w:eastAsia="Calibri" w:hAnsi="Roboto Slab" w:cs="Times New Roman"/>
          <w:noProof/>
          <w:sz w:val="20"/>
          <w:szCs w:val="20"/>
        </w:rPr>
        <w:t xml:space="preserve"> </w:t>
      </w:r>
      <w:r w:rsidR="00D86C2E" w:rsidRPr="00CB0181">
        <w:rPr>
          <w:rFonts w:ascii="Roboto Slab" w:eastAsia="Calibri" w:hAnsi="Roboto Slab" w:cs="Times New Roman"/>
          <w:noProof/>
          <w:sz w:val="20"/>
          <w:szCs w:val="20"/>
        </w:rPr>
        <w:t>– der höchste Stand seit Jahresanfang</w:t>
      </w:r>
      <w:r w:rsidRPr="00CB0181">
        <w:rPr>
          <w:rFonts w:ascii="Roboto Slab" w:eastAsia="Calibri" w:hAnsi="Roboto Slab" w:cs="Times New Roman"/>
          <w:noProof/>
          <w:sz w:val="20"/>
          <w:szCs w:val="20"/>
        </w:rPr>
        <w:t xml:space="preserve"> –</w:t>
      </w:r>
      <w:r w:rsidR="00E91564" w:rsidRPr="00CB0181">
        <w:rPr>
          <w:rFonts w:ascii="Roboto Slab" w:eastAsia="Calibri" w:hAnsi="Roboto Slab" w:cs="Times New Roman"/>
          <w:noProof/>
          <w:sz w:val="20"/>
          <w:szCs w:val="20"/>
        </w:rPr>
        <w:t xml:space="preserve">, bevor sich die Lage nach einer </w:t>
      </w:r>
      <w:r w:rsidRPr="00CB0181">
        <w:rPr>
          <w:rFonts w:ascii="Roboto Slab" w:eastAsia="Calibri" w:hAnsi="Roboto Slab" w:cs="Times New Roman"/>
          <w:noProof/>
          <w:sz w:val="20"/>
          <w:szCs w:val="20"/>
        </w:rPr>
        <w:t xml:space="preserve">vereinbarten </w:t>
      </w:r>
      <w:r w:rsidR="00E91564" w:rsidRPr="00CB0181">
        <w:rPr>
          <w:rFonts w:ascii="Roboto Slab" w:eastAsia="Calibri" w:hAnsi="Roboto Slab" w:cs="Times New Roman"/>
          <w:noProof/>
          <w:sz w:val="20"/>
          <w:szCs w:val="20"/>
        </w:rPr>
        <w:t xml:space="preserve">Waffenruhe wieder entspannte und die Preise </w:t>
      </w:r>
      <w:r w:rsidR="00D86C2E" w:rsidRPr="00CB0181">
        <w:rPr>
          <w:rFonts w:ascii="Roboto Slab" w:eastAsia="Calibri" w:hAnsi="Roboto Slab" w:cs="Times New Roman"/>
          <w:noProof/>
          <w:sz w:val="20"/>
          <w:szCs w:val="20"/>
        </w:rPr>
        <w:t>auf unter 68 US</w:t>
      </w:r>
      <w:r w:rsidRPr="00CB0181">
        <w:rPr>
          <w:rFonts w:ascii="Roboto Slab" w:eastAsia="Calibri" w:hAnsi="Roboto Slab" w:cs="Times New Roman"/>
          <w:noProof/>
          <w:sz w:val="20"/>
          <w:szCs w:val="20"/>
        </w:rPr>
        <w:t>-Dollar</w:t>
      </w:r>
      <w:r w:rsidR="00D86C2E" w:rsidRPr="00CB0181">
        <w:rPr>
          <w:rFonts w:ascii="Roboto Slab" w:eastAsia="Calibri" w:hAnsi="Roboto Slab" w:cs="Times New Roman"/>
          <w:noProof/>
          <w:sz w:val="20"/>
          <w:szCs w:val="20"/>
        </w:rPr>
        <w:t xml:space="preserve"> </w:t>
      </w:r>
      <w:r w:rsidR="00E91564" w:rsidRPr="00CB0181">
        <w:rPr>
          <w:rFonts w:ascii="Roboto Slab" w:eastAsia="Calibri" w:hAnsi="Roboto Slab" w:cs="Times New Roman"/>
          <w:noProof/>
          <w:sz w:val="20"/>
          <w:szCs w:val="20"/>
        </w:rPr>
        <w:t>zurückgingen.</w:t>
      </w:r>
    </w:p>
    <w:p w14:paraId="793E6718" w14:textId="77777777" w:rsidR="0085208A" w:rsidRPr="00CB0181" w:rsidRDefault="0085208A" w:rsidP="00E91564">
      <w:pPr>
        <w:spacing w:line="240" w:lineRule="auto"/>
        <w:ind w:left="426" w:right="567"/>
        <w:rPr>
          <w:rFonts w:ascii="Roboto Slab" w:eastAsia="Calibri" w:hAnsi="Roboto Slab" w:cs="Times New Roman"/>
          <w:noProof/>
          <w:sz w:val="20"/>
          <w:szCs w:val="20"/>
        </w:rPr>
      </w:pPr>
    </w:p>
    <w:p w14:paraId="312DEDB5" w14:textId="7D31F91A" w:rsidR="00B81D22" w:rsidRDefault="00E91564" w:rsidP="00B81D22">
      <w:pPr>
        <w:spacing w:line="240" w:lineRule="auto"/>
        <w:ind w:left="426" w:right="567"/>
        <w:rPr>
          <w:rFonts w:ascii="Roboto Slab" w:eastAsia="Calibri" w:hAnsi="Roboto Slab" w:cs="Times New Roman"/>
          <w:noProof/>
          <w:sz w:val="20"/>
          <w:szCs w:val="20"/>
        </w:rPr>
      </w:pPr>
      <w:r w:rsidRPr="00CB0181">
        <w:rPr>
          <w:rFonts w:ascii="Roboto Slab" w:eastAsia="Calibri" w:hAnsi="Roboto Slab" w:cs="Times New Roman"/>
          <w:noProof/>
          <w:sz w:val="20"/>
          <w:szCs w:val="20"/>
        </w:rPr>
        <w:t xml:space="preserve">Auch der Goldpreis profitierte im Quartalsverlauf von der erhöhten geopolitischen Unsicherheit. Als klassischer „sicherer Hafen“ verzeichnete Gold insbesondere während der Konflikthochphase einen </w:t>
      </w:r>
      <w:r w:rsidR="0085208A" w:rsidRPr="00CB0181">
        <w:rPr>
          <w:rFonts w:ascii="Roboto Slab" w:eastAsia="Calibri" w:hAnsi="Roboto Slab" w:cs="Times New Roman"/>
          <w:noProof/>
          <w:sz w:val="20"/>
          <w:szCs w:val="20"/>
        </w:rPr>
        <w:t xml:space="preserve">augenfälligen </w:t>
      </w:r>
      <w:r w:rsidRPr="00CB0181">
        <w:rPr>
          <w:rFonts w:ascii="Roboto Slab" w:eastAsia="Calibri" w:hAnsi="Roboto Slab" w:cs="Times New Roman"/>
          <w:noProof/>
          <w:sz w:val="20"/>
          <w:szCs w:val="20"/>
        </w:rPr>
        <w:t xml:space="preserve">Preisanstieg. </w:t>
      </w:r>
      <w:r w:rsidR="0085208A" w:rsidRPr="00CB0181">
        <w:rPr>
          <w:rFonts w:ascii="Roboto Slab" w:eastAsia="Calibri" w:hAnsi="Roboto Slab" w:cs="Times New Roman"/>
          <w:noProof/>
          <w:sz w:val="20"/>
          <w:szCs w:val="20"/>
        </w:rPr>
        <w:t>Infolge der</w:t>
      </w:r>
      <w:r w:rsidRPr="00CB0181">
        <w:rPr>
          <w:rFonts w:ascii="Roboto Slab" w:eastAsia="Calibri" w:hAnsi="Roboto Slab" w:cs="Times New Roman"/>
          <w:noProof/>
          <w:sz w:val="20"/>
          <w:szCs w:val="20"/>
        </w:rPr>
        <w:t xml:space="preserve"> nachlassenden Spannungen </w:t>
      </w:r>
      <w:r w:rsidR="002C0EC0" w:rsidRPr="00CB0181">
        <w:rPr>
          <w:rFonts w:ascii="Roboto Slab" w:eastAsia="Calibri" w:hAnsi="Roboto Slab" w:cs="Times New Roman"/>
          <w:noProof/>
          <w:sz w:val="20"/>
          <w:szCs w:val="20"/>
        </w:rPr>
        <w:t xml:space="preserve">gab </w:t>
      </w:r>
      <w:r w:rsidR="00DD1637" w:rsidRPr="00CB0181">
        <w:rPr>
          <w:rFonts w:ascii="Roboto Slab" w:eastAsia="Calibri" w:hAnsi="Roboto Slab" w:cs="Times New Roman"/>
          <w:noProof/>
          <w:sz w:val="20"/>
          <w:szCs w:val="20"/>
        </w:rPr>
        <w:t xml:space="preserve">der Kurs etwas </w:t>
      </w:r>
      <w:r w:rsidR="002C0EC0" w:rsidRPr="00CB0181">
        <w:rPr>
          <w:rFonts w:ascii="Roboto Slab" w:eastAsia="Calibri" w:hAnsi="Roboto Slab" w:cs="Times New Roman"/>
          <w:noProof/>
          <w:sz w:val="20"/>
          <w:szCs w:val="20"/>
        </w:rPr>
        <w:t>nach</w:t>
      </w:r>
      <w:r w:rsidR="00DD1637" w:rsidRPr="00CB0181">
        <w:rPr>
          <w:rFonts w:ascii="Roboto Slab" w:eastAsia="Calibri" w:hAnsi="Roboto Slab" w:cs="Times New Roman"/>
          <w:noProof/>
          <w:sz w:val="20"/>
          <w:szCs w:val="20"/>
        </w:rPr>
        <w:t>, konnte sich jedoch auf einem erhöhten Niveau halten.</w:t>
      </w:r>
      <w:bookmarkEnd w:id="0"/>
    </w:p>
    <w:sectPr w:rsidR="00B81D22" w:rsidSect="00284E9B">
      <w:headerReference w:type="default" r:id="rId13"/>
      <w:pgSz w:w="11901" w:h="16817"/>
      <w:pgMar w:top="851"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D7E39" w14:textId="77777777" w:rsidR="00C56FFC" w:rsidRDefault="00C56FFC" w:rsidP="002A7F66">
      <w:pPr>
        <w:spacing w:line="240" w:lineRule="auto"/>
      </w:pPr>
      <w:r>
        <w:separator/>
      </w:r>
    </w:p>
  </w:endnote>
  <w:endnote w:type="continuationSeparator" w:id="0">
    <w:p w14:paraId="61D3D355" w14:textId="77777777" w:rsidR="00C56FFC" w:rsidRDefault="00C56FFC" w:rsidP="002A7F66">
      <w:pPr>
        <w:spacing w:line="240" w:lineRule="auto"/>
      </w:pPr>
      <w:r>
        <w:continuationSeparator/>
      </w:r>
    </w:p>
  </w:endnote>
  <w:endnote w:type="continuationNotice" w:id="1">
    <w:p w14:paraId="5F98C476" w14:textId="77777777" w:rsidR="00C56FFC" w:rsidRDefault="00C56F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55">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Roboto Slab">
    <w:altName w:val="Arial"/>
    <w:charset w:val="00"/>
    <w:family w:val="auto"/>
    <w:pitch w:val="variable"/>
    <w:sig w:usb0="000004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B223F" w14:textId="77777777" w:rsidR="00C56FFC" w:rsidRDefault="00C56FFC" w:rsidP="002A7F66">
      <w:pPr>
        <w:spacing w:line="240" w:lineRule="auto"/>
      </w:pPr>
      <w:r>
        <w:separator/>
      </w:r>
    </w:p>
  </w:footnote>
  <w:footnote w:type="continuationSeparator" w:id="0">
    <w:p w14:paraId="5C6A31A8" w14:textId="77777777" w:rsidR="00C56FFC" w:rsidRDefault="00C56FFC" w:rsidP="002A7F66">
      <w:pPr>
        <w:spacing w:line="240" w:lineRule="auto"/>
      </w:pPr>
      <w:r>
        <w:continuationSeparator/>
      </w:r>
    </w:p>
  </w:footnote>
  <w:footnote w:type="continuationNotice" w:id="1">
    <w:p w14:paraId="2646CBF2" w14:textId="77777777" w:rsidR="00C56FFC" w:rsidRDefault="00C56F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1BC7" w14:textId="453B3D7B" w:rsidR="00C6605C" w:rsidRDefault="00C6605C">
    <w:pPr>
      <w:pStyle w:val="Kopfzeile"/>
    </w:pPr>
  </w:p>
  <w:p w14:paraId="28708C84" w14:textId="77777777" w:rsidR="00C6605C" w:rsidRDefault="00C6605C">
    <w:pPr>
      <w:pStyle w:val="Kopfzeile"/>
    </w:pPr>
  </w:p>
  <w:p w14:paraId="00CB7B06" w14:textId="77777777" w:rsidR="00C6605C" w:rsidRDefault="00C6605C">
    <w:pPr>
      <w:pStyle w:val="Kopfzeile"/>
    </w:pPr>
  </w:p>
  <w:p w14:paraId="193B4B35" w14:textId="77777777" w:rsidR="00C6605C" w:rsidRDefault="00C6605C" w:rsidP="009C057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C41"/>
    <w:multiLevelType w:val="hybridMultilevel"/>
    <w:tmpl w:val="7BD04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8739F1"/>
    <w:multiLevelType w:val="hybridMultilevel"/>
    <w:tmpl w:val="708C2818"/>
    <w:lvl w:ilvl="0" w:tplc="7D0E24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3A73D9"/>
    <w:multiLevelType w:val="hybridMultilevel"/>
    <w:tmpl w:val="9D04273E"/>
    <w:lvl w:ilvl="0" w:tplc="10ACF7DE">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3126E8"/>
    <w:multiLevelType w:val="hybridMultilevel"/>
    <w:tmpl w:val="AD5AEB20"/>
    <w:lvl w:ilvl="0" w:tplc="1786EB52">
      <w:start w:val="1"/>
      <w:numFmt w:val="bullet"/>
      <w:lvlText w:val=""/>
      <w:lvlJc w:val="left"/>
      <w:pPr>
        <w:tabs>
          <w:tab w:val="num" w:pos="170"/>
        </w:tabs>
        <w:ind w:left="0" w:firstLine="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456B9C"/>
    <w:multiLevelType w:val="hybridMultilevel"/>
    <w:tmpl w:val="FF62EBE4"/>
    <w:lvl w:ilvl="0" w:tplc="C8FE508E">
      <w:start w:val="4"/>
      <w:numFmt w:val="bullet"/>
      <w:lvlText w:val="-"/>
      <w:lvlJc w:val="left"/>
      <w:pPr>
        <w:ind w:left="720" w:hanging="360"/>
      </w:pPr>
      <w:rPr>
        <w:rFonts w:ascii="Verdana" w:eastAsiaTheme="minorEastAsia"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BE0FAB"/>
    <w:multiLevelType w:val="hybridMultilevel"/>
    <w:tmpl w:val="7D8CFFB4"/>
    <w:lvl w:ilvl="0" w:tplc="15827DA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BF3ECE"/>
    <w:multiLevelType w:val="hybridMultilevel"/>
    <w:tmpl w:val="89A87A66"/>
    <w:lvl w:ilvl="0" w:tplc="0F8499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E445D0"/>
    <w:multiLevelType w:val="hybridMultilevel"/>
    <w:tmpl w:val="D99A7052"/>
    <w:lvl w:ilvl="0" w:tplc="04070001">
      <w:start w:val="1"/>
      <w:numFmt w:val="bullet"/>
      <w:lvlText w:val=""/>
      <w:lvlJc w:val="left"/>
      <w:pPr>
        <w:ind w:left="3022" w:hanging="360"/>
      </w:pPr>
      <w:rPr>
        <w:rFonts w:ascii="Symbol" w:hAnsi="Symbol" w:hint="default"/>
      </w:rPr>
    </w:lvl>
    <w:lvl w:ilvl="1" w:tplc="04070003">
      <w:start w:val="1"/>
      <w:numFmt w:val="bullet"/>
      <w:lvlText w:val="o"/>
      <w:lvlJc w:val="left"/>
      <w:pPr>
        <w:ind w:left="3742" w:hanging="360"/>
      </w:pPr>
      <w:rPr>
        <w:rFonts w:ascii="Courier New" w:hAnsi="Courier New" w:hint="default"/>
      </w:rPr>
    </w:lvl>
    <w:lvl w:ilvl="2" w:tplc="04070005" w:tentative="1">
      <w:start w:val="1"/>
      <w:numFmt w:val="bullet"/>
      <w:lvlText w:val=""/>
      <w:lvlJc w:val="left"/>
      <w:pPr>
        <w:ind w:left="4462" w:hanging="360"/>
      </w:pPr>
      <w:rPr>
        <w:rFonts w:ascii="Wingdings" w:hAnsi="Wingdings" w:hint="default"/>
      </w:rPr>
    </w:lvl>
    <w:lvl w:ilvl="3" w:tplc="04070001" w:tentative="1">
      <w:start w:val="1"/>
      <w:numFmt w:val="bullet"/>
      <w:lvlText w:val=""/>
      <w:lvlJc w:val="left"/>
      <w:pPr>
        <w:ind w:left="5182" w:hanging="360"/>
      </w:pPr>
      <w:rPr>
        <w:rFonts w:ascii="Symbol" w:hAnsi="Symbol" w:hint="default"/>
      </w:rPr>
    </w:lvl>
    <w:lvl w:ilvl="4" w:tplc="04070003" w:tentative="1">
      <w:start w:val="1"/>
      <w:numFmt w:val="bullet"/>
      <w:lvlText w:val="o"/>
      <w:lvlJc w:val="left"/>
      <w:pPr>
        <w:ind w:left="5902" w:hanging="360"/>
      </w:pPr>
      <w:rPr>
        <w:rFonts w:ascii="Courier New" w:hAnsi="Courier New" w:hint="default"/>
      </w:rPr>
    </w:lvl>
    <w:lvl w:ilvl="5" w:tplc="04070005" w:tentative="1">
      <w:start w:val="1"/>
      <w:numFmt w:val="bullet"/>
      <w:lvlText w:val=""/>
      <w:lvlJc w:val="left"/>
      <w:pPr>
        <w:ind w:left="6622" w:hanging="360"/>
      </w:pPr>
      <w:rPr>
        <w:rFonts w:ascii="Wingdings" w:hAnsi="Wingdings" w:hint="default"/>
      </w:rPr>
    </w:lvl>
    <w:lvl w:ilvl="6" w:tplc="04070001" w:tentative="1">
      <w:start w:val="1"/>
      <w:numFmt w:val="bullet"/>
      <w:lvlText w:val=""/>
      <w:lvlJc w:val="left"/>
      <w:pPr>
        <w:ind w:left="7342" w:hanging="360"/>
      </w:pPr>
      <w:rPr>
        <w:rFonts w:ascii="Symbol" w:hAnsi="Symbol" w:hint="default"/>
      </w:rPr>
    </w:lvl>
    <w:lvl w:ilvl="7" w:tplc="04070003" w:tentative="1">
      <w:start w:val="1"/>
      <w:numFmt w:val="bullet"/>
      <w:lvlText w:val="o"/>
      <w:lvlJc w:val="left"/>
      <w:pPr>
        <w:ind w:left="8062" w:hanging="360"/>
      </w:pPr>
      <w:rPr>
        <w:rFonts w:ascii="Courier New" w:hAnsi="Courier New" w:hint="default"/>
      </w:rPr>
    </w:lvl>
    <w:lvl w:ilvl="8" w:tplc="04070005" w:tentative="1">
      <w:start w:val="1"/>
      <w:numFmt w:val="bullet"/>
      <w:lvlText w:val=""/>
      <w:lvlJc w:val="left"/>
      <w:pPr>
        <w:ind w:left="8782" w:hanging="360"/>
      </w:pPr>
      <w:rPr>
        <w:rFonts w:ascii="Wingdings" w:hAnsi="Wingdings" w:hint="default"/>
      </w:rPr>
    </w:lvl>
  </w:abstractNum>
  <w:abstractNum w:abstractNumId="8" w15:restartNumberingAfterBreak="0">
    <w:nsid w:val="3D1D486C"/>
    <w:multiLevelType w:val="hybridMultilevel"/>
    <w:tmpl w:val="55A05086"/>
    <w:lvl w:ilvl="0" w:tplc="04070003">
      <w:start w:val="1"/>
      <w:numFmt w:val="bullet"/>
      <w:lvlText w:val="o"/>
      <w:lvlJc w:val="left"/>
      <w:pPr>
        <w:ind w:left="765" w:hanging="360"/>
      </w:pPr>
      <w:rPr>
        <w:rFonts w:ascii="Courier New" w:hAnsi="Courier New" w:cs="Courier New" w:hint="default"/>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9" w15:restartNumberingAfterBreak="0">
    <w:nsid w:val="3D2F02A7"/>
    <w:multiLevelType w:val="hybridMultilevel"/>
    <w:tmpl w:val="00120EFA"/>
    <w:lvl w:ilvl="0" w:tplc="F32A263E">
      <w:start w:val="1"/>
      <w:numFmt w:val="bullet"/>
      <w:lvlText w:val=""/>
      <w:lvlJc w:val="left"/>
      <w:pPr>
        <w:tabs>
          <w:tab w:val="num" w:pos="170"/>
        </w:tabs>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8827E5"/>
    <w:multiLevelType w:val="hybridMultilevel"/>
    <w:tmpl w:val="538A3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E0227B"/>
    <w:multiLevelType w:val="hybridMultilevel"/>
    <w:tmpl w:val="F7CCC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143183"/>
    <w:multiLevelType w:val="hybridMultilevel"/>
    <w:tmpl w:val="5A6AF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431C8E"/>
    <w:multiLevelType w:val="hybridMultilevel"/>
    <w:tmpl w:val="270A27F0"/>
    <w:lvl w:ilvl="0" w:tplc="28ACB5B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FE32C5"/>
    <w:multiLevelType w:val="hybridMultilevel"/>
    <w:tmpl w:val="E7786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EB2C25"/>
    <w:multiLevelType w:val="hybridMultilevel"/>
    <w:tmpl w:val="6060DE6C"/>
    <w:lvl w:ilvl="0" w:tplc="119858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0023D1"/>
    <w:multiLevelType w:val="hybridMultilevel"/>
    <w:tmpl w:val="D026E47E"/>
    <w:lvl w:ilvl="0" w:tplc="846C86BE">
      <w:start w:val="1"/>
      <w:numFmt w:val="bullet"/>
      <w:lvlText w:val="-"/>
      <w:lvlJc w:val="left"/>
      <w:pPr>
        <w:ind w:left="1068" w:hanging="360"/>
      </w:pPr>
      <w:rPr>
        <w:rFonts w:ascii="Univers 55" w:eastAsia="Calibri" w:hAnsi="Univers 55"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60417900"/>
    <w:multiLevelType w:val="hybridMultilevel"/>
    <w:tmpl w:val="83F6E1F8"/>
    <w:lvl w:ilvl="0" w:tplc="294EE1F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4C3063"/>
    <w:multiLevelType w:val="hybridMultilevel"/>
    <w:tmpl w:val="1902DFCA"/>
    <w:lvl w:ilvl="0" w:tplc="294EE1F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3473459"/>
    <w:multiLevelType w:val="hybridMultilevel"/>
    <w:tmpl w:val="9294C3E0"/>
    <w:lvl w:ilvl="0" w:tplc="6FD4B3DC">
      <w:start w:val="1"/>
      <w:numFmt w:val="decimal"/>
      <w:pStyle w:val="StandardtextmitAufzhlung"/>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84958A8"/>
    <w:multiLevelType w:val="hybridMultilevel"/>
    <w:tmpl w:val="FD0659E2"/>
    <w:lvl w:ilvl="0" w:tplc="93EC6D64">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36360709">
    <w:abstractNumId w:val="1"/>
  </w:num>
  <w:num w:numId="2" w16cid:durableId="1816798439">
    <w:abstractNumId w:val="13"/>
  </w:num>
  <w:num w:numId="3" w16cid:durableId="1940135318">
    <w:abstractNumId w:val="15"/>
  </w:num>
  <w:num w:numId="4" w16cid:durableId="1424841846">
    <w:abstractNumId w:val="5"/>
  </w:num>
  <w:num w:numId="5" w16cid:durableId="2111507335">
    <w:abstractNumId w:val="17"/>
  </w:num>
  <w:num w:numId="6" w16cid:durableId="1314143053">
    <w:abstractNumId w:val="18"/>
  </w:num>
  <w:num w:numId="7" w16cid:durableId="1549998268">
    <w:abstractNumId w:val="7"/>
  </w:num>
  <w:num w:numId="8" w16cid:durableId="1375739953">
    <w:abstractNumId w:val="12"/>
  </w:num>
  <w:num w:numId="9" w16cid:durableId="848565084">
    <w:abstractNumId w:val="11"/>
  </w:num>
  <w:num w:numId="10" w16cid:durableId="2094744141">
    <w:abstractNumId w:val="3"/>
  </w:num>
  <w:num w:numId="11" w16cid:durableId="551309553">
    <w:abstractNumId w:val="9"/>
  </w:num>
  <w:num w:numId="12" w16cid:durableId="2128425958">
    <w:abstractNumId w:val="4"/>
  </w:num>
  <w:num w:numId="13" w16cid:durableId="1181242589">
    <w:abstractNumId w:val="20"/>
  </w:num>
  <w:num w:numId="14" w16cid:durableId="476146296">
    <w:abstractNumId w:val="19"/>
  </w:num>
  <w:num w:numId="15" w16cid:durableId="1338385694">
    <w:abstractNumId w:val="2"/>
  </w:num>
  <w:num w:numId="16" w16cid:durableId="366027640">
    <w:abstractNumId w:val="19"/>
  </w:num>
  <w:num w:numId="17" w16cid:durableId="1464806178">
    <w:abstractNumId w:val="6"/>
  </w:num>
  <w:num w:numId="18" w16cid:durableId="1727601925">
    <w:abstractNumId w:val="19"/>
    <w:lvlOverride w:ilvl="0">
      <w:startOverride w:val="3"/>
    </w:lvlOverride>
  </w:num>
  <w:num w:numId="19" w16cid:durableId="2066247107">
    <w:abstractNumId w:val="19"/>
    <w:lvlOverride w:ilvl="0">
      <w:startOverride w:val="5"/>
    </w:lvlOverride>
  </w:num>
  <w:num w:numId="20" w16cid:durableId="1583952818">
    <w:abstractNumId w:val="19"/>
    <w:lvlOverride w:ilvl="0">
      <w:startOverride w:val="1"/>
    </w:lvlOverride>
  </w:num>
  <w:num w:numId="21" w16cid:durableId="1698462306">
    <w:abstractNumId w:val="8"/>
  </w:num>
  <w:num w:numId="22" w16cid:durableId="1720129876">
    <w:abstractNumId w:val="0"/>
  </w:num>
  <w:num w:numId="23" w16cid:durableId="699092584">
    <w:abstractNumId w:val="10"/>
  </w:num>
  <w:num w:numId="24" w16cid:durableId="1741099740">
    <w:abstractNumId w:val="14"/>
  </w:num>
  <w:num w:numId="25" w16cid:durableId="145045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consecutiveHyphenLimit w:val="3"/>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86"/>
    <w:rsid w:val="000003F0"/>
    <w:rsid w:val="000021A3"/>
    <w:rsid w:val="000022F6"/>
    <w:rsid w:val="00003D79"/>
    <w:rsid w:val="00004E5C"/>
    <w:rsid w:val="00004E98"/>
    <w:rsid w:val="0001069F"/>
    <w:rsid w:val="00011A1F"/>
    <w:rsid w:val="00011DCE"/>
    <w:rsid w:val="00012886"/>
    <w:rsid w:val="00012A90"/>
    <w:rsid w:val="000159F4"/>
    <w:rsid w:val="00015F0B"/>
    <w:rsid w:val="000172C5"/>
    <w:rsid w:val="00017BCB"/>
    <w:rsid w:val="000225B7"/>
    <w:rsid w:val="00022EFF"/>
    <w:rsid w:val="0002622D"/>
    <w:rsid w:val="00032472"/>
    <w:rsid w:val="00032887"/>
    <w:rsid w:val="00032DB6"/>
    <w:rsid w:val="00033A3D"/>
    <w:rsid w:val="00033E39"/>
    <w:rsid w:val="00034A92"/>
    <w:rsid w:val="00034AFA"/>
    <w:rsid w:val="0003519E"/>
    <w:rsid w:val="000366C1"/>
    <w:rsid w:val="00036D2D"/>
    <w:rsid w:val="00040831"/>
    <w:rsid w:val="00041159"/>
    <w:rsid w:val="0004208F"/>
    <w:rsid w:val="00042C25"/>
    <w:rsid w:val="0004316E"/>
    <w:rsid w:val="00044397"/>
    <w:rsid w:val="00045B43"/>
    <w:rsid w:val="00045C38"/>
    <w:rsid w:val="00050164"/>
    <w:rsid w:val="00050B9D"/>
    <w:rsid w:val="00051304"/>
    <w:rsid w:val="000524B1"/>
    <w:rsid w:val="0005281C"/>
    <w:rsid w:val="00052CAF"/>
    <w:rsid w:val="000547C2"/>
    <w:rsid w:val="00055046"/>
    <w:rsid w:val="00056A0B"/>
    <w:rsid w:val="00056FD3"/>
    <w:rsid w:val="00061A6F"/>
    <w:rsid w:val="000627C4"/>
    <w:rsid w:val="0006425E"/>
    <w:rsid w:val="000668CA"/>
    <w:rsid w:val="00066C01"/>
    <w:rsid w:val="000678B0"/>
    <w:rsid w:val="0007273B"/>
    <w:rsid w:val="000737F8"/>
    <w:rsid w:val="000739BD"/>
    <w:rsid w:val="00074040"/>
    <w:rsid w:val="000743AC"/>
    <w:rsid w:val="00076206"/>
    <w:rsid w:val="0007642F"/>
    <w:rsid w:val="00076F4A"/>
    <w:rsid w:val="000771E0"/>
    <w:rsid w:val="00077FE5"/>
    <w:rsid w:val="00080109"/>
    <w:rsid w:val="000805FD"/>
    <w:rsid w:val="00081BBB"/>
    <w:rsid w:val="00084159"/>
    <w:rsid w:val="000855DD"/>
    <w:rsid w:val="00086A8F"/>
    <w:rsid w:val="000876AF"/>
    <w:rsid w:val="000914BD"/>
    <w:rsid w:val="00092003"/>
    <w:rsid w:val="00092ABD"/>
    <w:rsid w:val="00093CC7"/>
    <w:rsid w:val="00093E68"/>
    <w:rsid w:val="00094E73"/>
    <w:rsid w:val="0009708E"/>
    <w:rsid w:val="00097BD1"/>
    <w:rsid w:val="000A07D9"/>
    <w:rsid w:val="000A1434"/>
    <w:rsid w:val="000A1482"/>
    <w:rsid w:val="000A2766"/>
    <w:rsid w:val="000A2FCD"/>
    <w:rsid w:val="000A4A7B"/>
    <w:rsid w:val="000A59F9"/>
    <w:rsid w:val="000A62BC"/>
    <w:rsid w:val="000A70A7"/>
    <w:rsid w:val="000B005E"/>
    <w:rsid w:val="000B157C"/>
    <w:rsid w:val="000B191E"/>
    <w:rsid w:val="000B3793"/>
    <w:rsid w:val="000B7427"/>
    <w:rsid w:val="000B7F2C"/>
    <w:rsid w:val="000C2590"/>
    <w:rsid w:val="000C3F45"/>
    <w:rsid w:val="000C5093"/>
    <w:rsid w:val="000C79FD"/>
    <w:rsid w:val="000D0049"/>
    <w:rsid w:val="000D2CC4"/>
    <w:rsid w:val="000D360B"/>
    <w:rsid w:val="000D3C7A"/>
    <w:rsid w:val="000D3D7B"/>
    <w:rsid w:val="000D4373"/>
    <w:rsid w:val="000D5552"/>
    <w:rsid w:val="000D5FC0"/>
    <w:rsid w:val="000D7940"/>
    <w:rsid w:val="000E0AD8"/>
    <w:rsid w:val="000E0BE0"/>
    <w:rsid w:val="000E19C3"/>
    <w:rsid w:val="000E2207"/>
    <w:rsid w:val="000E40EA"/>
    <w:rsid w:val="000E4D61"/>
    <w:rsid w:val="000E4F43"/>
    <w:rsid w:val="000E5550"/>
    <w:rsid w:val="000E5B8D"/>
    <w:rsid w:val="000E6DC4"/>
    <w:rsid w:val="000E7219"/>
    <w:rsid w:val="000F03C0"/>
    <w:rsid w:val="000F119D"/>
    <w:rsid w:val="000F13BB"/>
    <w:rsid w:val="000F1A36"/>
    <w:rsid w:val="000F1A49"/>
    <w:rsid w:val="000F3844"/>
    <w:rsid w:val="000F3C3F"/>
    <w:rsid w:val="000F6215"/>
    <w:rsid w:val="000F647C"/>
    <w:rsid w:val="0010181B"/>
    <w:rsid w:val="00105BED"/>
    <w:rsid w:val="001075FF"/>
    <w:rsid w:val="00107C02"/>
    <w:rsid w:val="00107ED2"/>
    <w:rsid w:val="001102F6"/>
    <w:rsid w:val="00110469"/>
    <w:rsid w:val="00110C4E"/>
    <w:rsid w:val="00111096"/>
    <w:rsid w:val="001116BC"/>
    <w:rsid w:val="001124F1"/>
    <w:rsid w:val="00112726"/>
    <w:rsid w:val="00112A52"/>
    <w:rsid w:val="001148C6"/>
    <w:rsid w:val="001172A7"/>
    <w:rsid w:val="001200DA"/>
    <w:rsid w:val="00120C71"/>
    <w:rsid w:val="0012149F"/>
    <w:rsid w:val="00122295"/>
    <w:rsid w:val="00122CBA"/>
    <w:rsid w:val="0012338F"/>
    <w:rsid w:val="00124ABE"/>
    <w:rsid w:val="001261D5"/>
    <w:rsid w:val="001267C2"/>
    <w:rsid w:val="001270D1"/>
    <w:rsid w:val="001272BE"/>
    <w:rsid w:val="00127783"/>
    <w:rsid w:val="001305C3"/>
    <w:rsid w:val="001317FA"/>
    <w:rsid w:val="00131ACA"/>
    <w:rsid w:val="00132D32"/>
    <w:rsid w:val="00133E47"/>
    <w:rsid w:val="001352EA"/>
    <w:rsid w:val="00137BD5"/>
    <w:rsid w:val="001403C0"/>
    <w:rsid w:val="001404C2"/>
    <w:rsid w:val="00140741"/>
    <w:rsid w:val="00141465"/>
    <w:rsid w:val="00145593"/>
    <w:rsid w:val="001461A0"/>
    <w:rsid w:val="001468E2"/>
    <w:rsid w:val="00146A8D"/>
    <w:rsid w:val="001471E4"/>
    <w:rsid w:val="001506FC"/>
    <w:rsid w:val="00155156"/>
    <w:rsid w:val="00155507"/>
    <w:rsid w:val="00156484"/>
    <w:rsid w:val="0015672C"/>
    <w:rsid w:val="001567EA"/>
    <w:rsid w:val="0015789D"/>
    <w:rsid w:val="0016119D"/>
    <w:rsid w:val="00161953"/>
    <w:rsid w:val="001645A9"/>
    <w:rsid w:val="00164EB0"/>
    <w:rsid w:val="00165970"/>
    <w:rsid w:val="001659BF"/>
    <w:rsid w:val="00167871"/>
    <w:rsid w:val="001679C7"/>
    <w:rsid w:val="0017007C"/>
    <w:rsid w:val="00170439"/>
    <w:rsid w:val="00171F84"/>
    <w:rsid w:val="001734FE"/>
    <w:rsid w:val="00173AB9"/>
    <w:rsid w:val="001751D8"/>
    <w:rsid w:val="001759A5"/>
    <w:rsid w:val="001767F8"/>
    <w:rsid w:val="0018079E"/>
    <w:rsid w:val="00182A48"/>
    <w:rsid w:val="001843BF"/>
    <w:rsid w:val="00184CBA"/>
    <w:rsid w:val="00187AEB"/>
    <w:rsid w:val="00190B1F"/>
    <w:rsid w:val="001918C3"/>
    <w:rsid w:val="0019289B"/>
    <w:rsid w:val="00195BE5"/>
    <w:rsid w:val="0019649F"/>
    <w:rsid w:val="0019659D"/>
    <w:rsid w:val="00196FDC"/>
    <w:rsid w:val="00197B57"/>
    <w:rsid w:val="001A06FC"/>
    <w:rsid w:val="001A22A9"/>
    <w:rsid w:val="001A366D"/>
    <w:rsid w:val="001A3F86"/>
    <w:rsid w:val="001A4EDA"/>
    <w:rsid w:val="001A52A5"/>
    <w:rsid w:val="001A6249"/>
    <w:rsid w:val="001A7DA5"/>
    <w:rsid w:val="001A7E56"/>
    <w:rsid w:val="001B072D"/>
    <w:rsid w:val="001B0CFE"/>
    <w:rsid w:val="001B101C"/>
    <w:rsid w:val="001B2DE0"/>
    <w:rsid w:val="001B5145"/>
    <w:rsid w:val="001B5E7F"/>
    <w:rsid w:val="001B5EE5"/>
    <w:rsid w:val="001B75E7"/>
    <w:rsid w:val="001C2DCA"/>
    <w:rsid w:val="001C3F0E"/>
    <w:rsid w:val="001C4527"/>
    <w:rsid w:val="001C6B52"/>
    <w:rsid w:val="001C6BB5"/>
    <w:rsid w:val="001C6FBC"/>
    <w:rsid w:val="001D027F"/>
    <w:rsid w:val="001D0525"/>
    <w:rsid w:val="001D1AB1"/>
    <w:rsid w:val="001D3DE2"/>
    <w:rsid w:val="001D479A"/>
    <w:rsid w:val="001D5CE6"/>
    <w:rsid w:val="001D6C51"/>
    <w:rsid w:val="001D6E9F"/>
    <w:rsid w:val="001E0C83"/>
    <w:rsid w:val="001E2A04"/>
    <w:rsid w:val="001E2A65"/>
    <w:rsid w:val="001E34CC"/>
    <w:rsid w:val="001E3BF3"/>
    <w:rsid w:val="001E5A6A"/>
    <w:rsid w:val="001E5E68"/>
    <w:rsid w:val="001E6486"/>
    <w:rsid w:val="001E69C0"/>
    <w:rsid w:val="001E6D22"/>
    <w:rsid w:val="001E71E8"/>
    <w:rsid w:val="001E7EC3"/>
    <w:rsid w:val="001F0D03"/>
    <w:rsid w:val="001F1399"/>
    <w:rsid w:val="001F2043"/>
    <w:rsid w:val="001F2338"/>
    <w:rsid w:val="001F4A6E"/>
    <w:rsid w:val="001F4D8F"/>
    <w:rsid w:val="001F5CA1"/>
    <w:rsid w:val="001F76A7"/>
    <w:rsid w:val="002010AF"/>
    <w:rsid w:val="002044B5"/>
    <w:rsid w:val="002071FC"/>
    <w:rsid w:val="0021052F"/>
    <w:rsid w:val="00211F20"/>
    <w:rsid w:val="0021320B"/>
    <w:rsid w:val="00213572"/>
    <w:rsid w:val="00214B06"/>
    <w:rsid w:val="0021669D"/>
    <w:rsid w:val="00221283"/>
    <w:rsid w:val="00221B6F"/>
    <w:rsid w:val="002223B5"/>
    <w:rsid w:val="00222CF6"/>
    <w:rsid w:val="00222E92"/>
    <w:rsid w:val="00226433"/>
    <w:rsid w:val="0023052A"/>
    <w:rsid w:val="002310AF"/>
    <w:rsid w:val="00231300"/>
    <w:rsid w:val="00232D97"/>
    <w:rsid w:val="002334DD"/>
    <w:rsid w:val="00233BC4"/>
    <w:rsid w:val="00236804"/>
    <w:rsid w:val="00241457"/>
    <w:rsid w:val="002419B0"/>
    <w:rsid w:val="002423F7"/>
    <w:rsid w:val="00243070"/>
    <w:rsid w:val="002448FE"/>
    <w:rsid w:val="00244CAF"/>
    <w:rsid w:val="0024550A"/>
    <w:rsid w:val="00245DF0"/>
    <w:rsid w:val="00246ECD"/>
    <w:rsid w:val="002477DA"/>
    <w:rsid w:val="00247944"/>
    <w:rsid w:val="00247D45"/>
    <w:rsid w:val="00250418"/>
    <w:rsid w:val="002505B4"/>
    <w:rsid w:val="00251BF1"/>
    <w:rsid w:val="00252809"/>
    <w:rsid w:val="00252ED7"/>
    <w:rsid w:val="00255780"/>
    <w:rsid w:val="002559DE"/>
    <w:rsid w:val="00255F38"/>
    <w:rsid w:val="00257630"/>
    <w:rsid w:val="00257943"/>
    <w:rsid w:val="00260EE1"/>
    <w:rsid w:val="0026319C"/>
    <w:rsid w:val="00265E46"/>
    <w:rsid w:val="00270A1B"/>
    <w:rsid w:val="00270E72"/>
    <w:rsid w:val="00270F83"/>
    <w:rsid w:val="00272A21"/>
    <w:rsid w:val="00273182"/>
    <w:rsid w:val="00273C24"/>
    <w:rsid w:val="00276C33"/>
    <w:rsid w:val="002803B7"/>
    <w:rsid w:val="00281B01"/>
    <w:rsid w:val="002849A2"/>
    <w:rsid w:val="00284E9B"/>
    <w:rsid w:val="0028502A"/>
    <w:rsid w:val="00286134"/>
    <w:rsid w:val="00286E6F"/>
    <w:rsid w:val="00287156"/>
    <w:rsid w:val="00290F88"/>
    <w:rsid w:val="002910F2"/>
    <w:rsid w:val="0029232C"/>
    <w:rsid w:val="00292651"/>
    <w:rsid w:val="00292FFF"/>
    <w:rsid w:val="002931D7"/>
    <w:rsid w:val="0029389F"/>
    <w:rsid w:val="00294A81"/>
    <w:rsid w:val="00295DE3"/>
    <w:rsid w:val="002965E2"/>
    <w:rsid w:val="002976F7"/>
    <w:rsid w:val="002A0BD7"/>
    <w:rsid w:val="002A0CE5"/>
    <w:rsid w:val="002A26A3"/>
    <w:rsid w:val="002A3CB2"/>
    <w:rsid w:val="002A46F6"/>
    <w:rsid w:val="002A619B"/>
    <w:rsid w:val="002A7547"/>
    <w:rsid w:val="002A7F66"/>
    <w:rsid w:val="002B0873"/>
    <w:rsid w:val="002B0A7B"/>
    <w:rsid w:val="002B0B6D"/>
    <w:rsid w:val="002B16F4"/>
    <w:rsid w:val="002B1BD3"/>
    <w:rsid w:val="002B38B3"/>
    <w:rsid w:val="002B39CF"/>
    <w:rsid w:val="002B4C13"/>
    <w:rsid w:val="002B65F0"/>
    <w:rsid w:val="002B6C88"/>
    <w:rsid w:val="002B73A1"/>
    <w:rsid w:val="002C0EC0"/>
    <w:rsid w:val="002C19FF"/>
    <w:rsid w:val="002C2DB4"/>
    <w:rsid w:val="002C53C3"/>
    <w:rsid w:val="002C5531"/>
    <w:rsid w:val="002C56C9"/>
    <w:rsid w:val="002C60B7"/>
    <w:rsid w:val="002C729A"/>
    <w:rsid w:val="002C7CB3"/>
    <w:rsid w:val="002D0187"/>
    <w:rsid w:val="002D1646"/>
    <w:rsid w:val="002D17D0"/>
    <w:rsid w:val="002D17DF"/>
    <w:rsid w:val="002D18B3"/>
    <w:rsid w:val="002D1951"/>
    <w:rsid w:val="002D1BCB"/>
    <w:rsid w:val="002D1F9B"/>
    <w:rsid w:val="002D2ED2"/>
    <w:rsid w:val="002D3305"/>
    <w:rsid w:val="002D4439"/>
    <w:rsid w:val="002E0F08"/>
    <w:rsid w:val="002E1373"/>
    <w:rsid w:val="002E13D5"/>
    <w:rsid w:val="002E53B8"/>
    <w:rsid w:val="002E6182"/>
    <w:rsid w:val="002F15B3"/>
    <w:rsid w:val="002F2064"/>
    <w:rsid w:val="002F2D3C"/>
    <w:rsid w:val="002F3A34"/>
    <w:rsid w:val="002F55B5"/>
    <w:rsid w:val="002F59A2"/>
    <w:rsid w:val="002F5CDF"/>
    <w:rsid w:val="00301769"/>
    <w:rsid w:val="00301ED7"/>
    <w:rsid w:val="0030386F"/>
    <w:rsid w:val="00305575"/>
    <w:rsid w:val="00305FB2"/>
    <w:rsid w:val="003062A5"/>
    <w:rsid w:val="00306794"/>
    <w:rsid w:val="003067B3"/>
    <w:rsid w:val="00310427"/>
    <w:rsid w:val="00315600"/>
    <w:rsid w:val="0031709A"/>
    <w:rsid w:val="00320D30"/>
    <w:rsid w:val="00320F0F"/>
    <w:rsid w:val="0032116B"/>
    <w:rsid w:val="00321E4D"/>
    <w:rsid w:val="00322EE4"/>
    <w:rsid w:val="003234DD"/>
    <w:rsid w:val="003243F7"/>
    <w:rsid w:val="0032552B"/>
    <w:rsid w:val="0032702A"/>
    <w:rsid w:val="0033055B"/>
    <w:rsid w:val="00331334"/>
    <w:rsid w:val="00331A72"/>
    <w:rsid w:val="00332497"/>
    <w:rsid w:val="003329DD"/>
    <w:rsid w:val="00332A55"/>
    <w:rsid w:val="00333D63"/>
    <w:rsid w:val="0033425C"/>
    <w:rsid w:val="003352E8"/>
    <w:rsid w:val="00335360"/>
    <w:rsid w:val="00335C22"/>
    <w:rsid w:val="00335D86"/>
    <w:rsid w:val="00340171"/>
    <w:rsid w:val="00340495"/>
    <w:rsid w:val="00341EBC"/>
    <w:rsid w:val="003434E6"/>
    <w:rsid w:val="00344065"/>
    <w:rsid w:val="00345325"/>
    <w:rsid w:val="003470FF"/>
    <w:rsid w:val="003471F9"/>
    <w:rsid w:val="00347F0A"/>
    <w:rsid w:val="0035152A"/>
    <w:rsid w:val="0035421F"/>
    <w:rsid w:val="003569E3"/>
    <w:rsid w:val="003571FF"/>
    <w:rsid w:val="003606D4"/>
    <w:rsid w:val="00360CD1"/>
    <w:rsid w:val="00360F6F"/>
    <w:rsid w:val="00361564"/>
    <w:rsid w:val="00361D45"/>
    <w:rsid w:val="0036214A"/>
    <w:rsid w:val="00362843"/>
    <w:rsid w:val="00363507"/>
    <w:rsid w:val="0036360F"/>
    <w:rsid w:val="00363748"/>
    <w:rsid w:val="003657CA"/>
    <w:rsid w:val="00365964"/>
    <w:rsid w:val="00367D34"/>
    <w:rsid w:val="0037019A"/>
    <w:rsid w:val="0037038E"/>
    <w:rsid w:val="00370684"/>
    <w:rsid w:val="003707BC"/>
    <w:rsid w:val="003712C0"/>
    <w:rsid w:val="003726F3"/>
    <w:rsid w:val="00373594"/>
    <w:rsid w:val="0037374A"/>
    <w:rsid w:val="00375393"/>
    <w:rsid w:val="00375A73"/>
    <w:rsid w:val="00375C6B"/>
    <w:rsid w:val="00375FFA"/>
    <w:rsid w:val="00376A72"/>
    <w:rsid w:val="00376EDD"/>
    <w:rsid w:val="0038060E"/>
    <w:rsid w:val="00381108"/>
    <w:rsid w:val="00382DD0"/>
    <w:rsid w:val="003846DB"/>
    <w:rsid w:val="00387FE6"/>
    <w:rsid w:val="00390651"/>
    <w:rsid w:val="00390B17"/>
    <w:rsid w:val="003929CD"/>
    <w:rsid w:val="00394BC2"/>
    <w:rsid w:val="00397908"/>
    <w:rsid w:val="003A075E"/>
    <w:rsid w:val="003A07EA"/>
    <w:rsid w:val="003A0874"/>
    <w:rsid w:val="003A20AE"/>
    <w:rsid w:val="003A3A8C"/>
    <w:rsid w:val="003A42E9"/>
    <w:rsid w:val="003A5F24"/>
    <w:rsid w:val="003B08BE"/>
    <w:rsid w:val="003B11AD"/>
    <w:rsid w:val="003B2785"/>
    <w:rsid w:val="003B4802"/>
    <w:rsid w:val="003B5331"/>
    <w:rsid w:val="003B63CD"/>
    <w:rsid w:val="003B68F6"/>
    <w:rsid w:val="003C0AC9"/>
    <w:rsid w:val="003C1F13"/>
    <w:rsid w:val="003C1F97"/>
    <w:rsid w:val="003C28D8"/>
    <w:rsid w:val="003C442E"/>
    <w:rsid w:val="003C4C80"/>
    <w:rsid w:val="003C5EE0"/>
    <w:rsid w:val="003C63DF"/>
    <w:rsid w:val="003D1484"/>
    <w:rsid w:val="003D2B5B"/>
    <w:rsid w:val="003D37C3"/>
    <w:rsid w:val="003D3FE7"/>
    <w:rsid w:val="003D4B97"/>
    <w:rsid w:val="003D609A"/>
    <w:rsid w:val="003E22A3"/>
    <w:rsid w:val="003E4F97"/>
    <w:rsid w:val="003E61DC"/>
    <w:rsid w:val="003E70F0"/>
    <w:rsid w:val="003F12ED"/>
    <w:rsid w:val="003F178D"/>
    <w:rsid w:val="003F23A5"/>
    <w:rsid w:val="003F444E"/>
    <w:rsid w:val="003F5436"/>
    <w:rsid w:val="003F7A74"/>
    <w:rsid w:val="003F7CF9"/>
    <w:rsid w:val="00400322"/>
    <w:rsid w:val="004009F4"/>
    <w:rsid w:val="0040156B"/>
    <w:rsid w:val="00402497"/>
    <w:rsid w:val="004034E3"/>
    <w:rsid w:val="00403892"/>
    <w:rsid w:val="00403D6D"/>
    <w:rsid w:val="00404CE1"/>
    <w:rsid w:val="0040577D"/>
    <w:rsid w:val="00405F2E"/>
    <w:rsid w:val="004064CD"/>
    <w:rsid w:val="0040770B"/>
    <w:rsid w:val="00407C90"/>
    <w:rsid w:val="00407DC3"/>
    <w:rsid w:val="00410B68"/>
    <w:rsid w:val="004120F9"/>
    <w:rsid w:val="0041289F"/>
    <w:rsid w:val="004132B4"/>
    <w:rsid w:val="0041421D"/>
    <w:rsid w:val="00414722"/>
    <w:rsid w:val="00415C4E"/>
    <w:rsid w:val="004160BA"/>
    <w:rsid w:val="00420D56"/>
    <w:rsid w:val="00422F60"/>
    <w:rsid w:val="0042519F"/>
    <w:rsid w:val="00425970"/>
    <w:rsid w:val="004268E3"/>
    <w:rsid w:val="004327BD"/>
    <w:rsid w:val="00433004"/>
    <w:rsid w:val="00434153"/>
    <w:rsid w:val="004354E2"/>
    <w:rsid w:val="00436521"/>
    <w:rsid w:val="004409B8"/>
    <w:rsid w:val="00440CF2"/>
    <w:rsid w:val="0044198D"/>
    <w:rsid w:val="00441AE1"/>
    <w:rsid w:val="00443E7B"/>
    <w:rsid w:val="00443FF9"/>
    <w:rsid w:val="00445286"/>
    <w:rsid w:val="00445743"/>
    <w:rsid w:val="004457D5"/>
    <w:rsid w:val="00445FDA"/>
    <w:rsid w:val="00447B6C"/>
    <w:rsid w:val="00447E2B"/>
    <w:rsid w:val="00452EF2"/>
    <w:rsid w:val="004543D8"/>
    <w:rsid w:val="00454837"/>
    <w:rsid w:val="00457FAA"/>
    <w:rsid w:val="004614A3"/>
    <w:rsid w:val="00461F5F"/>
    <w:rsid w:val="00461FDE"/>
    <w:rsid w:val="00465093"/>
    <w:rsid w:val="00465FCA"/>
    <w:rsid w:val="00466164"/>
    <w:rsid w:val="004663D1"/>
    <w:rsid w:val="0046747D"/>
    <w:rsid w:val="004702ED"/>
    <w:rsid w:val="0047063E"/>
    <w:rsid w:val="00471652"/>
    <w:rsid w:val="00472DAC"/>
    <w:rsid w:val="00473AF0"/>
    <w:rsid w:val="00475F8B"/>
    <w:rsid w:val="00476911"/>
    <w:rsid w:val="00477494"/>
    <w:rsid w:val="004817FD"/>
    <w:rsid w:val="00481BB1"/>
    <w:rsid w:val="00483F33"/>
    <w:rsid w:val="00485882"/>
    <w:rsid w:val="004868F8"/>
    <w:rsid w:val="00486CC6"/>
    <w:rsid w:val="004874E4"/>
    <w:rsid w:val="00487CF0"/>
    <w:rsid w:val="00487D51"/>
    <w:rsid w:val="00487FF9"/>
    <w:rsid w:val="004904D3"/>
    <w:rsid w:val="004920A4"/>
    <w:rsid w:val="00494D85"/>
    <w:rsid w:val="00495F44"/>
    <w:rsid w:val="004A0854"/>
    <w:rsid w:val="004A1B29"/>
    <w:rsid w:val="004A2270"/>
    <w:rsid w:val="004A4CD7"/>
    <w:rsid w:val="004A5656"/>
    <w:rsid w:val="004A592C"/>
    <w:rsid w:val="004A64F0"/>
    <w:rsid w:val="004A6819"/>
    <w:rsid w:val="004A70D9"/>
    <w:rsid w:val="004B1427"/>
    <w:rsid w:val="004C0BD7"/>
    <w:rsid w:val="004C4079"/>
    <w:rsid w:val="004C44CC"/>
    <w:rsid w:val="004C4DAD"/>
    <w:rsid w:val="004C4ECA"/>
    <w:rsid w:val="004C605A"/>
    <w:rsid w:val="004C7F93"/>
    <w:rsid w:val="004D0F0A"/>
    <w:rsid w:val="004D2C15"/>
    <w:rsid w:val="004D3706"/>
    <w:rsid w:val="004D46B0"/>
    <w:rsid w:val="004D4C24"/>
    <w:rsid w:val="004D5359"/>
    <w:rsid w:val="004D64FA"/>
    <w:rsid w:val="004D6514"/>
    <w:rsid w:val="004D7931"/>
    <w:rsid w:val="004D7CCD"/>
    <w:rsid w:val="004E05A9"/>
    <w:rsid w:val="004E06B2"/>
    <w:rsid w:val="004E0A3B"/>
    <w:rsid w:val="004E3978"/>
    <w:rsid w:val="004E563F"/>
    <w:rsid w:val="004E5ACC"/>
    <w:rsid w:val="004F2D50"/>
    <w:rsid w:val="004F2DF2"/>
    <w:rsid w:val="004F47D2"/>
    <w:rsid w:val="004F53EE"/>
    <w:rsid w:val="004F5724"/>
    <w:rsid w:val="004F6E21"/>
    <w:rsid w:val="004F6F0F"/>
    <w:rsid w:val="004F7A37"/>
    <w:rsid w:val="00501528"/>
    <w:rsid w:val="00501BA9"/>
    <w:rsid w:val="00502B21"/>
    <w:rsid w:val="005050DC"/>
    <w:rsid w:val="00505155"/>
    <w:rsid w:val="005055BD"/>
    <w:rsid w:val="005074CB"/>
    <w:rsid w:val="00512DA5"/>
    <w:rsid w:val="0051340C"/>
    <w:rsid w:val="00514C4E"/>
    <w:rsid w:val="00516833"/>
    <w:rsid w:val="00516D7C"/>
    <w:rsid w:val="00516DBC"/>
    <w:rsid w:val="0052037A"/>
    <w:rsid w:val="00520BBF"/>
    <w:rsid w:val="00521159"/>
    <w:rsid w:val="00522AAC"/>
    <w:rsid w:val="0052558F"/>
    <w:rsid w:val="00527E51"/>
    <w:rsid w:val="0053022A"/>
    <w:rsid w:val="00531182"/>
    <w:rsid w:val="005312D7"/>
    <w:rsid w:val="00532972"/>
    <w:rsid w:val="00533DA6"/>
    <w:rsid w:val="00534041"/>
    <w:rsid w:val="00535DB4"/>
    <w:rsid w:val="00537FF9"/>
    <w:rsid w:val="00540D5E"/>
    <w:rsid w:val="00543926"/>
    <w:rsid w:val="005538E9"/>
    <w:rsid w:val="005550F8"/>
    <w:rsid w:val="00556BF4"/>
    <w:rsid w:val="00560E75"/>
    <w:rsid w:val="005623CB"/>
    <w:rsid w:val="005628D1"/>
    <w:rsid w:val="0056291B"/>
    <w:rsid w:val="00562B36"/>
    <w:rsid w:val="00562B4C"/>
    <w:rsid w:val="00563392"/>
    <w:rsid w:val="00563400"/>
    <w:rsid w:val="0056478C"/>
    <w:rsid w:val="00564C64"/>
    <w:rsid w:val="00564EDC"/>
    <w:rsid w:val="005660B3"/>
    <w:rsid w:val="0057090F"/>
    <w:rsid w:val="00570B51"/>
    <w:rsid w:val="00571109"/>
    <w:rsid w:val="0057259E"/>
    <w:rsid w:val="005734FC"/>
    <w:rsid w:val="005735DE"/>
    <w:rsid w:val="00575957"/>
    <w:rsid w:val="005764A8"/>
    <w:rsid w:val="00582AEE"/>
    <w:rsid w:val="0058315A"/>
    <w:rsid w:val="00583DBE"/>
    <w:rsid w:val="00585588"/>
    <w:rsid w:val="00585FA7"/>
    <w:rsid w:val="00590B3D"/>
    <w:rsid w:val="005912F8"/>
    <w:rsid w:val="005944CF"/>
    <w:rsid w:val="00594A91"/>
    <w:rsid w:val="005958C6"/>
    <w:rsid w:val="00595E58"/>
    <w:rsid w:val="005971F3"/>
    <w:rsid w:val="005A02BB"/>
    <w:rsid w:val="005A0C52"/>
    <w:rsid w:val="005A2F8F"/>
    <w:rsid w:val="005A5688"/>
    <w:rsid w:val="005A5AE2"/>
    <w:rsid w:val="005A69F2"/>
    <w:rsid w:val="005A7C1E"/>
    <w:rsid w:val="005A7FCD"/>
    <w:rsid w:val="005B15E6"/>
    <w:rsid w:val="005B160A"/>
    <w:rsid w:val="005B1D2B"/>
    <w:rsid w:val="005B212C"/>
    <w:rsid w:val="005B6035"/>
    <w:rsid w:val="005B6568"/>
    <w:rsid w:val="005C35D9"/>
    <w:rsid w:val="005C3771"/>
    <w:rsid w:val="005C3867"/>
    <w:rsid w:val="005C4E0C"/>
    <w:rsid w:val="005C5F8B"/>
    <w:rsid w:val="005D01E9"/>
    <w:rsid w:val="005D16ED"/>
    <w:rsid w:val="005D2169"/>
    <w:rsid w:val="005D45DF"/>
    <w:rsid w:val="005D59B3"/>
    <w:rsid w:val="005D6314"/>
    <w:rsid w:val="005D7A02"/>
    <w:rsid w:val="005E2AD0"/>
    <w:rsid w:val="005E39E8"/>
    <w:rsid w:val="005E4230"/>
    <w:rsid w:val="005E4938"/>
    <w:rsid w:val="005E6685"/>
    <w:rsid w:val="005E6F6C"/>
    <w:rsid w:val="005F07F0"/>
    <w:rsid w:val="005F0C6F"/>
    <w:rsid w:val="005F1889"/>
    <w:rsid w:val="005F40E1"/>
    <w:rsid w:val="005F44A1"/>
    <w:rsid w:val="005F5DBD"/>
    <w:rsid w:val="00600526"/>
    <w:rsid w:val="006014F5"/>
    <w:rsid w:val="006026AF"/>
    <w:rsid w:val="00605006"/>
    <w:rsid w:val="00605633"/>
    <w:rsid w:val="00606790"/>
    <w:rsid w:val="006109EC"/>
    <w:rsid w:val="00610C81"/>
    <w:rsid w:val="00612A11"/>
    <w:rsid w:val="00612AA8"/>
    <w:rsid w:val="006132D2"/>
    <w:rsid w:val="00613471"/>
    <w:rsid w:val="006144D1"/>
    <w:rsid w:val="006150B0"/>
    <w:rsid w:val="00615F54"/>
    <w:rsid w:val="006171C9"/>
    <w:rsid w:val="0061774E"/>
    <w:rsid w:val="006205F6"/>
    <w:rsid w:val="006210F5"/>
    <w:rsid w:val="00622356"/>
    <w:rsid w:val="00624F5A"/>
    <w:rsid w:val="006250AF"/>
    <w:rsid w:val="00626E62"/>
    <w:rsid w:val="00630834"/>
    <w:rsid w:val="00632349"/>
    <w:rsid w:val="00634A23"/>
    <w:rsid w:val="00635634"/>
    <w:rsid w:val="00635681"/>
    <w:rsid w:val="00635F51"/>
    <w:rsid w:val="0063605D"/>
    <w:rsid w:val="00636C2F"/>
    <w:rsid w:val="00637FFA"/>
    <w:rsid w:val="006407CC"/>
    <w:rsid w:val="00640C04"/>
    <w:rsid w:val="00640E53"/>
    <w:rsid w:val="00641EE1"/>
    <w:rsid w:val="006420D1"/>
    <w:rsid w:val="00644CE2"/>
    <w:rsid w:val="00645FAC"/>
    <w:rsid w:val="00646F1C"/>
    <w:rsid w:val="00647D10"/>
    <w:rsid w:val="00651716"/>
    <w:rsid w:val="00654211"/>
    <w:rsid w:val="006556BE"/>
    <w:rsid w:val="0066228E"/>
    <w:rsid w:val="00662FCF"/>
    <w:rsid w:val="006634BC"/>
    <w:rsid w:val="00663FC8"/>
    <w:rsid w:val="00664773"/>
    <w:rsid w:val="0066530E"/>
    <w:rsid w:val="006657FA"/>
    <w:rsid w:val="0067014A"/>
    <w:rsid w:val="00670387"/>
    <w:rsid w:val="0067219A"/>
    <w:rsid w:val="00673ACA"/>
    <w:rsid w:val="006748E3"/>
    <w:rsid w:val="00674E47"/>
    <w:rsid w:val="0067570E"/>
    <w:rsid w:val="00682068"/>
    <w:rsid w:val="006828DC"/>
    <w:rsid w:val="00682ADA"/>
    <w:rsid w:val="0068522C"/>
    <w:rsid w:val="0068563E"/>
    <w:rsid w:val="00685918"/>
    <w:rsid w:val="00685BE1"/>
    <w:rsid w:val="00685F84"/>
    <w:rsid w:val="00687130"/>
    <w:rsid w:val="006871CE"/>
    <w:rsid w:val="0069118C"/>
    <w:rsid w:val="00691DD0"/>
    <w:rsid w:val="00692A7B"/>
    <w:rsid w:val="00693955"/>
    <w:rsid w:val="00693C82"/>
    <w:rsid w:val="00694999"/>
    <w:rsid w:val="00695FF0"/>
    <w:rsid w:val="00696314"/>
    <w:rsid w:val="00697A54"/>
    <w:rsid w:val="006A26EC"/>
    <w:rsid w:val="006A2CB7"/>
    <w:rsid w:val="006A36AB"/>
    <w:rsid w:val="006A746C"/>
    <w:rsid w:val="006B14B3"/>
    <w:rsid w:val="006B19F6"/>
    <w:rsid w:val="006B2240"/>
    <w:rsid w:val="006B2352"/>
    <w:rsid w:val="006B3713"/>
    <w:rsid w:val="006B5A70"/>
    <w:rsid w:val="006B5D0D"/>
    <w:rsid w:val="006B5D27"/>
    <w:rsid w:val="006B788A"/>
    <w:rsid w:val="006C166B"/>
    <w:rsid w:val="006C2E42"/>
    <w:rsid w:val="006C322C"/>
    <w:rsid w:val="006C413A"/>
    <w:rsid w:val="006C4F3C"/>
    <w:rsid w:val="006C642B"/>
    <w:rsid w:val="006C6EF6"/>
    <w:rsid w:val="006D0015"/>
    <w:rsid w:val="006D0B30"/>
    <w:rsid w:val="006D0C22"/>
    <w:rsid w:val="006D1A0A"/>
    <w:rsid w:val="006D34C3"/>
    <w:rsid w:val="006D465C"/>
    <w:rsid w:val="006D6263"/>
    <w:rsid w:val="006D77B2"/>
    <w:rsid w:val="006E09B8"/>
    <w:rsid w:val="006E0B9E"/>
    <w:rsid w:val="006E15D7"/>
    <w:rsid w:val="006E1763"/>
    <w:rsid w:val="006E28A7"/>
    <w:rsid w:val="006E401E"/>
    <w:rsid w:val="006E6088"/>
    <w:rsid w:val="006E6A61"/>
    <w:rsid w:val="006E6D9E"/>
    <w:rsid w:val="006E6F9D"/>
    <w:rsid w:val="006E7070"/>
    <w:rsid w:val="006E7536"/>
    <w:rsid w:val="006F3883"/>
    <w:rsid w:val="006F6F34"/>
    <w:rsid w:val="00700920"/>
    <w:rsid w:val="00702FBE"/>
    <w:rsid w:val="0070462D"/>
    <w:rsid w:val="0070656A"/>
    <w:rsid w:val="00707FD4"/>
    <w:rsid w:val="00710A21"/>
    <w:rsid w:val="00710AFA"/>
    <w:rsid w:val="00711C59"/>
    <w:rsid w:val="00714E18"/>
    <w:rsid w:val="00717E25"/>
    <w:rsid w:val="00717E55"/>
    <w:rsid w:val="00717F22"/>
    <w:rsid w:val="00720B0D"/>
    <w:rsid w:val="00720CE1"/>
    <w:rsid w:val="00721646"/>
    <w:rsid w:val="00722FF9"/>
    <w:rsid w:val="007232BA"/>
    <w:rsid w:val="00723EF6"/>
    <w:rsid w:val="00724423"/>
    <w:rsid w:val="00727538"/>
    <w:rsid w:val="00727B21"/>
    <w:rsid w:val="007301F9"/>
    <w:rsid w:val="00731A79"/>
    <w:rsid w:val="00733C78"/>
    <w:rsid w:val="00733FEF"/>
    <w:rsid w:val="00734F43"/>
    <w:rsid w:val="00735A70"/>
    <w:rsid w:val="00735CA3"/>
    <w:rsid w:val="00735E50"/>
    <w:rsid w:val="00735E56"/>
    <w:rsid w:val="00736D3B"/>
    <w:rsid w:val="00741255"/>
    <w:rsid w:val="007417A4"/>
    <w:rsid w:val="00741989"/>
    <w:rsid w:val="007434D2"/>
    <w:rsid w:val="00743FC9"/>
    <w:rsid w:val="00747795"/>
    <w:rsid w:val="00750EE5"/>
    <w:rsid w:val="007511F5"/>
    <w:rsid w:val="00752647"/>
    <w:rsid w:val="00752896"/>
    <w:rsid w:val="007528B8"/>
    <w:rsid w:val="00752C7E"/>
    <w:rsid w:val="00754EC4"/>
    <w:rsid w:val="00755DDF"/>
    <w:rsid w:val="00757400"/>
    <w:rsid w:val="00757FA3"/>
    <w:rsid w:val="007628A6"/>
    <w:rsid w:val="00763600"/>
    <w:rsid w:val="00763F17"/>
    <w:rsid w:val="00764D06"/>
    <w:rsid w:val="00767674"/>
    <w:rsid w:val="00770033"/>
    <w:rsid w:val="00770291"/>
    <w:rsid w:val="00771873"/>
    <w:rsid w:val="0077279D"/>
    <w:rsid w:val="0077290F"/>
    <w:rsid w:val="00775253"/>
    <w:rsid w:val="00775F62"/>
    <w:rsid w:val="00776640"/>
    <w:rsid w:val="00777BB2"/>
    <w:rsid w:val="00781083"/>
    <w:rsid w:val="00783331"/>
    <w:rsid w:val="007844BA"/>
    <w:rsid w:val="00785D2E"/>
    <w:rsid w:val="00785ECA"/>
    <w:rsid w:val="00785F83"/>
    <w:rsid w:val="007878CB"/>
    <w:rsid w:val="00791A7F"/>
    <w:rsid w:val="00792083"/>
    <w:rsid w:val="00792F11"/>
    <w:rsid w:val="007931EE"/>
    <w:rsid w:val="0079410B"/>
    <w:rsid w:val="0079494D"/>
    <w:rsid w:val="007957CD"/>
    <w:rsid w:val="007970E1"/>
    <w:rsid w:val="0079734F"/>
    <w:rsid w:val="007A01AC"/>
    <w:rsid w:val="007A03A7"/>
    <w:rsid w:val="007A06B3"/>
    <w:rsid w:val="007A0FD1"/>
    <w:rsid w:val="007A1620"/>
    <w:rsid w:val="007A42B6"/>
    <w:rsid w:val="007A5A7E"/>
    <w:rsid w:val="007A5C60"/>
    <w:rsid w:val="007A7DF7"/>
    <w:rsid w:val="007A7FE6"/>
    <w:rsid w:val="007B2033"/>
    <w:rsid w:val="007B2C71"/>
    <w:rsid w:val="007B46D7"/>
    <w:rsid w:val="007B47B5"/>
    <w:rsid w:val="007B5A58"/>
    <w:rsid w:val="007B737E"/>
    <w:rsid w:val="007C0CB4"/>
    <w:rsid w:val="007C1CF2"/>
    <w:rsid w:val="007C1D96"/>
    <w:rsid w:val="007C215E"/>
    <w:rsid w:val="007C348F"/>
    <w:rsid w:val="007C3D03"/>
    <w:rsid w:val="007C4D77"/>
    <w:rsid w:val="007C72FF"/>
    <w:rsid w:val="007D20EE"/>
    <w:rsid w:val="007D2381"/>
    <w:rsid w:val="007D5914"/>
    <w:rsid w:val="007D5A3E"/>
    <w:rsid w:val="007D5ECA"/>
    <w:rsid w:val="007E0178"/>
    <w:rsid w:val="007E10BF"/>
    <w:rsid w:val="007E359E"/>
    <w:rsid w:val="007E3D66"/>
    <w:rsid w:val="007E5396"/>
    <w:rsid w:val="007E5D4D"/>
    <w:rsid w:val="007E70EE"/>
    <w:rsid w:val="007E7C24"/>
    <w:rsid w:val="007F01F5"/>
    <w:rsid w:val="007F02DE"/>
    <w:rsid w:val="007F07A2"/>
    <w:rsid w:val="007F0812"/>
    <w:rsid w:val="007F095F"/>
    <w:rsid w:val="007F21AB"/>
    <w:rsid w:val="007F333F"/>
    <w:rsid w:val="007F4888"/>
    <w:rsid w:val="007F5105"/>
    <w:rsid w:val="007F7529"/>
    <w:rsid w:val="0080123C"/>
    <w:rsid w:val="008023CE"/>
    <w:rsid w:val="00805E50"/>
    <w:rsid w:val="00811A99"/>
    <w:rsid w:val="00812161"/>
    <w:rsid w:val="00812BBA"/>
    <w:rsid w:val="00812E53"/>
    <w:rsid w:val="008138E8"/>
    <w:rsid w:val="00815462"/>
    <w:rsid w:val="00815B87"/>
    <w:rsid w:val="008177A7"/>
    <w:rsid w:val="00820D24"/>
    <w:rsid w:val="00821695"/>
    <w:rsid w:val="00823C50"/>
    <w:rsid w:val="008255BB"/>
    <w:rsid w:val="0082563C"/>
    <w:rsid w:val="00826884"/>
    <w:rsid w:val="00827237"/>
    <w:rsid w:val="008273B5"/>
    <w:rsid w:val="00827890"/>
    <w:rsid w:val="00827BDD"/>
    <w:rsid w:val="0083048D"/>
    <w:rsid w:val="00833B76"/>
    <w:rsid w:val="0083426D"/>
    <w:rsid w:val="00834C2C"/>
    <w:rsid w:val="008364A2"/>
    <w:rsid w:val="00837637"/>
    <w:rsid w:val="00837750"/>
    <w:rsid w:val="00841342"/>
    <w:rsid w:val="0084356F"/>
    <w:rsid w:val="00843CF9"/>
    <w:rsid w:val="008457FA"/>
    <w:rsid w:val="00845E43"/>
    <w:rsid w:val="00846B34"/>
    <w:rsid w:val="00850917"/>
    <w:rsid w:val="00851741"/>
    <w:rsid w:val="0085208A"/>
    <w:rsid w:val="008533FA"/>
    <w:rsid w:val="0085369D"/>
    <w:rsid w:val="008552C6"/>
    <w:rsid w:val="008568B3"/>
    <w:rsid w:val="00856CFF"/>
    <w:rsid w:val="00856F85"/>
    <w:rsid w:val="0085783A"/>
    <w:rsid w:val="008620F0"/>
    <w:rsid w:val="00862E48"/>
    <w:rsid w:val="0086327F"/>
    <w:rsid w:val="00863764"/>
    <w:rsid w:val="00863AD8"/>
    <w:rsid w:val="00865565"/>
    <w:rsid w:val="0086574D"/>
    <w:rsid w:val="0086734D"/>
    <w:rsid w:val="00871BF3"/>
    <w:rsid w:val="00871E9F"/>
    <w:rsid w:val="00872199"/>
    <w:rsid w:val="008727E7"/>
    <w:rsid w:val="008730DD"/>
    <w:rsid w:val="0087350B"/>
    <w:rsid w:val="008744FF"/>
    <w:rsid w:val="00874D41"/>
    <w:rsid w:val="00875F92"/>
    <w:rsid w:val="00877593"/>
    <w:rsid w:val="00877715"/>
    <w:rsid w:val="008808A3"/>
    <w:rsid w:val="008819CC"/>
    <w:rsid w:val="0088223D"/>
    <w:rsid w:val="00884105"/>
    <w:rsid w:val="00886456"/>
    <w:rsid w:val="00886A9E"/>
    <w:rsid w:val="00887B95"/>
    <w:rsid w:val="00887CA0"/>
    <w:rsid w:val="00891145"/>
    <w:rsid w:val="008919DD"/>
    <w:rsid w:val="00891CE7"/>
    <w:rsid w:val="00892A3F"/>
    <w:rsid w:val="008934D9"/>
    <w:rsid w:val="00893C60"/>
    <w:rsid w:val="00893E15"/>
    <w:rsid w:val="00894746"/>
    <w:rsid w:val="00894E59"/>
    <w:rsid w:val="00895CF7"/>
    <w:rsid w:val="00896645"/>
    <w:rsid w:val="008970BE"/>
    <w:rsid w:val="00897853"/>
    <w:rsid w:val="00897E98"/>
    <w:rsid w:val="008A1A8C"/>
    <w:rsid w:val="008A37CF"/>
    <w:rsid w:val="008A4A0D"/>
    <w:rsid w:val="008A6B66"/>
    <w:rsid w:val="008B1C57"/>
    <w:rsid w:val="008B2966"/>
    <w:rsid w:val="008B2DEB"/>
    <w:rsid w:val="008B6D2D"/>
    <w:rsid w:val="008B6E89"/>
    <w:rsid w:val="008B7597"/>
    <w:rsid w:val="008B7AA2"/>
    <w:rsid w:val="008C181F"/>
    <w:rsid w:val="008C28A1"/>
    <w:rsid w:val="008C2E31"/>
    <w:rsid w:val="008C358B"/>
    <w:rsid w:val="008C3921"/>
    <w:rsid w:val="008C4BB1"/>
    <w:rsid w:val="008C5063"/>
    <w:rsid w:val="008C5FA0"/>
    <w:rsid w:val="008C66A5"/>
    <w:rsid w:val="008C6A45"/>
    <w:rsid w:val="008C74C7"/>
    <w:rsid w:val="008C782C"/>
    <w:rsid w:val="008D256A"/>
    <w:rsid w:val="008D2674"/>
    <w:rsid w:val="008D2A5D"/>
    <w:rsid w:val="008D710D"/>
    <w:rsid w:val="008E10EA"/>
    <w:rsid w:val="008E2DD2"/>
    <w:rsid w:val="008E3668"/>
    <w:rsid w:val="008E47D1"/>
    <w:rsid w:val="008E4B42"/>
    <w:rsid w:val="008E58A5"/>
    <w:rsid w:val="008E74AC"/>
    <w:rsid w:val="008E74AE"/>
    <w:rsid w:val="008E7A0D"/>
    <w:rsid w:val="008F0D4E"/>
    <w:rsid w:val="008F10E9"/>
    <w:rsid w:val="008F1123"/>
    <w:rsid w:val="008F16E8"/>
    <w:rsid w:val="008F250B"/>
    <w:rsid w:val="008F5359"/>
    <w:rsid w:val="008F5BF5"/>
    <w:rsid w:val="008F5CE7"/>
    <w:rsid w:val="008F616F"/>
    <w:rsid w:val="008F68DB"/>
    <w:rsid w:val="008F68E8"/>
    <w:rsid w:val="008F69BD"/>
    <w:rsid w:val="008F7180"/>
    <w:rsid w:val="00900CC2"/>
    <w:rsid w:val="00903481"/>
    <w:rsid w:val="00905303"/>
    <w:rsid w:val="009065AE"/>
    <w:rsid w:val="0090667B"/>
    <w:rsid w:val="00906DAC"/>
    <w:rsid w:val="0090721D"/>
    <w:rsid w:val="0091091D"/>
    <w:rsid w:val="00912929"/>
    <w:rsid w:val="009145CC"/>
    <w:rsid w:val="00914B4D"/>
    <w:rsid w:val="00914BF1"/>
    <w:rsid w:val="00915F98"/>
    <w:rsid w:val="00916919"/>
    <w:rsid w:val="00916E57"/>
    <w:rsid w:val="00917B9D"/>
    <w:rsid w:val="00917F10"/>
    <w:rsid w:val="00920FB4"/>
    <w:rsid w:val="009211EF"/>
    <w:rsid w:val="00922AF1"/>
    <w:rsid w:val="0092433E"/>
    <w:rsid w:val="00924ECF"/>
    <w:rsid w:val="00926626"/>
    <w:rsid w:val="009309B0"/>
    <w:rsid w:val="00932603"/>
    <w:rsid w:val="00933202"/>
    <w:rsid w:val="009334A0"/>
    <w:rsid w:val="00933721"/>
    <w:rsid w:val="0093509F"/>
    <w:rsid w:val="009355A5"/>
    <w:rsid w:val="00937DF1"/>
    <w:rsid w:val="009403E3"/>
    <w:rsid w:val="00941826"/>
    <w:rsid w:val="009423AB"/>
    <w:rsid w:val="00942E9E"/>
    <w:rsid w:val="00943638"/>
    <w:rsid w:val="00943905"/>
    <w:rsid w:val="00944F19"/>
    <w:rsid w:val="0094569E"/>
    <w:rsid w:val="009564CE"/>
    <w:rsid w:val="00960B8F"/>
    <w:rsid w:val="00961FE0"/>
    <w:rsid w:val="00962A46"/>
    <w:rsid w:val="009634B2"/>
    <w:rsid w:val="00963582"/>
    <w:rsid w:val="00963853"/>
    <w:rsid w:val="0096444C"/>
    <w:rsid w:val="0096491F"/>
    <w:rsid w:val="00964AA4"/>
    <w:rsid w:val="00967065"/>
    <w:rsid w:val="00967D22"/>
    <w:rsid w:val="00970774"/>
    <w:rsid w:val="009725B8"/>
    <w:rsid w:val="0097543E"/>
    <w:rsid w:val="0097572E"/>
    <w:rsid w:val="009757B4"/>
    <w:rsid w:val="009777EC"/>
    <w:rsid w:val="0098183B"/>
    <w:rsid w:val="009826EE"/>
    <w:rsid w:val="00982899"/>
    <w:rsid w:val="00984841"/>
    <w:rsid w:val="00984E5A"/>
    <w:rsid w:val="00985181"/>
    <w:rsid w:val="00985184"/>
    <w:rsid w:val="00985AB2"/>
    <w:rsid w:val="0099085B"/>
    <w:rsid w:val="00990AEC"/>
    <w:rsid w:val="00991B5A"/>
    <w:rsid w:val="00992935"/>
    <w:rsid w:val="009945C6"/>
    <w:rsid w:val="009947D8"/>
    <w:rsid w:val="009953E2"/>
    <w:rsid w:val="00996051"/>
    <w:rsid w:val="00996621"/>
    <w:rsid w:val="009969C7"/>
    <w:rsid w:val="00996E6E"/>
    <w:rsid w:val="00997265"/>
    <w:rsid w:val="009975E4"/>
    <w:rsid w:val="009A0AF9"/>
    <w:rsid w:val="009A140B"/>
    <w:rsid w:val="009A2C3B"/>
    <w:rsid w:val="009A2E43"/>
    <w:rsid w:val="009A3B61"/>
    <w:rsid w:val="009A4315"/>
    <w:rsid w:val="009A491C"/>
    <w:rsid w:val="009A535B"/>
    <w:rsid w:val="009A6593"/>
    <w:rsid w:val="009B0EC4"/>
    <w:rsid w:val="009B19E1"/>
    <w:rsid w:val="009B2946"/>
    <w:rsid w:val="009B2A73"/>
    <w:rsid w:val="009B57EE"/>
    <w:rsid w:val="009B6DC8"/>
    <w:rsid w:val="009B6F3C"/>
    <w:rsid w:val="009C00BE"/>
    <w:rsid w:val="009C0572"/>
    <w:rsid w:val="009C0F25"/>
    <w:rsid w:val="009C178C"/>
    <w:rsid w:val="009C2362"/>
    <w:rsid w:val="009C3A20"/>
    <w:rsid w:val="009C4255"/>
    <w:rsid w:val="009C4B40"/>
    <w:rsid w:val="009C507C"/>
    <w:rsid w:val="009C5FFC"/>
    <w:rsid w:val="009C7E1B"/>
    <w:rsid w:val="009D166F"/>
    <w:rsid w:val="009D29C5"/>
    <w:rsid w:val="009D344C"/>
    <w:rsid w:val="009D3521"/>
    <w:rsid w:val="009D4F15"/>
    <w:rsid w:val="009D5E1B"/>
    <w:rsid w:val="009D6886"/>
    <w:rsid w:val="009E05A4"/>
    <w:rsid w:val="009E078B"/>
    <w:rsid w:val="009E0A47"/>
    <w:rsid w:val="009E1D37"/>
    <w:rsid w:val="009E3097"/>
    <w:rsid w:val="009E34D9"/>
    <w:rsid w:val="009E5E1C"/>
    <w:rsid w:val="009F0292"/>
    <w:rsid w:val="009F1140"/>
    <w:rsid w:val="009F1D6A"/>
    <w:rsid w:val="009F20BE"/>
    <w:rsid w:val="009F225B"/>
    <w:rsid w:val="009F2591"/>
    <w:rsid w:val="009F336C"/>
    <w:rsid w:val="009F4DED"/>
    <w:rsid w:val="009F579A"/>
    <w:rsid w:val="009F606F"/>
    <w:rsid w:val="009F6554"/>
    <w:rsid w:val="009F6B8D"/>
    <w:rsid w:val="00A015FA"/>
    <w:rsid w:val="00A02932"/>
    <w:rsid w:val="00A029FE"/>
    <w:rsid w:val="00A034A6"/>
    <w:rsid w:val="00A064D7"/>
    <w:rsid w:val="00A06966"/>
    <w:rsid w:val="00A06DA1"/>
    <w:rsid w:val="00A10415"/>
    <w:rsid w:val="00A13EAB"/>
    <w:rsid w:val="00A1541E"/>
    <w:rsid w:val="00A1781B"/>
    <w:rsid w:val="00A23983"/>
    <w:rsid w:val="00A242E8"/>
    <w:rsid w:val="00A25977"/>
    <w:rsid w:val="00A2670B"/>
    <w:rsid w:val="00A32775"/>
    <w:rsid w:val="00A33AD0"/>
    <w:rsid w:val="00A3441E"/>
    <w:rsid w:val="00A3515E"/>
    <w:rsid w:val="00A35B4B"/>
    <w:rsid w:val="00A370C8"/>
    <w:rsid w:val="00A432E3"/>
    <w:rsid w:val="00A459A5"/>
    <w:rsid w:val="00A45C3F"/>
    <w:rsid w:val="00A47DDF"/>
    <w:rsid w:val="00A47FA5"/>
    <w:rsid w:val="00A5048A"/>
    <w:rsid w:val="00A51298"/>
    <w:rsid w:val="00A51F88"/>
    <w:rsid w:val="00A53618"/>
    <w:rsid w:val="00A53CDD"/>
    <w:rsid w:val="00A53D13"/>
    <w:rsid w:val="00A5428A"/>
    <w:rsid w:val="00A54EF6"/>
    <w:rsid w:val="00A55687"/>
    <w:rsid w:val="00A56912"/>
    <w:rsid w:val="00A56A2C"/>
    <w:rsid w:val="00A56E5A"/>
    <w:rsid w:val="00A6058A"/>
    <w:rsid w:val="00A608B8"/>
    <w:rsid w:val="00A62057"/>
    <w:rsid w:val="00A63856"/>
    <w:rsid w:val="00A648E2"/>
    <w:rsid w:val="00A672B6"/>
    <w:rsid w:val="00A673E5"/>
    <w:rsid w:val="00A676B2"/>
    <w:rsid w:val="00A7287B"/>
    <w:rsid w:val="00A72904"/>
    <w:rsid w:val="00A7451E"/>
    <w:rsid w:val="00A74C10"/>
    <w:rsid w:val="00A7522A"/>
    <w:rsid w:val="00A76210"/>
    <w:rsid w:val="00A76265"/>
    <w:rsid w:val="00A77B8A"/>
    <w:rsid w:val="00A807BE"/>
    <w:rsid w:val="00A80C3D"/>
    <w:rsid w:val="00A812C9"/>
    <w:rsid w:val="00A81C50"/>
    <w:rsid w:val="00A82816"/>
    <w:rsid w:val="00A83339"/>
    <w:rsid w:val="00A8385D"/>
    <w:rsid w:val="00A84608"/>
    <w:rsid w:val="00A86669"/>
    <w:rsid w:val="00A87C4F"/>
    <w:rsid w:val="00A914BF"/>
    <w:rsid w:val="00A918A0"/>
    <w:rsid w:val="00A91D21"/>
    <w:rsid w:val="00A93ED0"/>
    <w:rsid w:val="00A93FD2"/>
    <w:rsid w:val="00A95095"/>
    <w:rsid w:val="00A95F72"/>
    <w:rsid w:val="00A97118"/>
    <w:rsid w:val="00AA4085"/>
    <w:rsid w:val="00AA462F"/>
    <w:rsid w:val="00AA50F8"/>
    <w:rsid w:val="00AA5215"/>
    <w:rsid w:val="00AA541F"/>
    <w:rsid w:val="00AA5AB9"/>
    <w:rsid w:val="00AB1444"/>
    <w:rsid w:val="00AB1875"/>
    <w:rsid w:val="00AB26DB"/>
    <w:rsid w:val="00AB2AB1"/>
    <w:rsid w:val="00AB3040"/>
    <w:rsid w:val="00AB3137"/>
    <w:rsid w:val="00AB3517"/>
    <w:rsid w:val="00AB5F19"/>
    <w:rsid w:val="00AB7869"/>
    <w:rsid w:val="00AB7C19"/>
    <w:rsid w:val="00AB7D77"/>
    <w:rsid w:val="00AB7EAF"/>
    <w:rsid w:val="00AC0B70"/>
    <w:rsid w:val="00AC27B2"/>
    <w:rsid w:val="00AC3B7E"/>
    <w:rsid w:val="00AC4133"/>
    <w:rsid w:val="00AC4656"/>
    <w:rsid w:val="00AC6C37"/>
    <w:rsid w:val="00AC7047"/>
    <w:rsid w:val="00AC704F"/>
    <w:rsid w:val="00AD6F4E"/>
    <w:rsid w:val="00AD71C4"/>
    <w:rsid w:val="00AD7BBD"/>
    <w:rsid w:val="00AE0A3C"/>
    <w:rsid w:val="00AE1B7C"/>
    <w:rsid w:val="00AE1F42"/>
    <w:rsid w:val="00AE3EE8"/>
    <w:rsid w:val="00AE59CE"/>
    <w:rsid w:val="00AF07C1"/>
    <w:rsid w:val="00AF0DC2"/>
    <w:rsid w:val="00AF2DCE"/>
    <w:rsid w:val="00AF67F0"/>
    <w:rsid w:val="00AF7B21"/>
    <w:rsid w:val="00B006A3"/>
    <w:rsid w:val="00B006A5"/>
    <w:rsid w:val="00B01ACF"/>
    <w:rsid w:val="00B02BBD"/>
    <w:rsid w:val="00B042B4"/>
    <w:rsid w:val="00B046C4"/>
    <w:rsid w:val="00B0560A"/>
    <w:rsid w:val="00B05D07"/>
    <w:rsid w:val="00B12E74"/>
    <w:rsid w:val="00B13113"/>
    <w:rsid w:val="00B15581"/>
    <w:rsid w:val="00B159FB"/>
    <w:rsid w:val="00B169C2"/>
    <w:rsid w:val="00B16C7D"/>
    <w:rsid w:val="00B17135"/>
    <w:rsid w:val="00B22B5D"/>
    <w:rsid w:val="00B2408E"/>
    <w:rsid w:val="00B24234"/>
    <w:rsid w:val="00B24C14"/>
    <w:rsid w:val="00B2520E"/>
    <w:rsid w:val="00B25471"/>
    <w:rsid w:val="00B25CE5"/>
    <w:rsid w:val="00B26406"/>
    <w:rsid w:val="00B26D12"/>
    <w:rsid w:val="00B26D22"/>
    <w:rsid w:val="00B2725C"/>
    <w:rsid w:val="00B27F31"/>
    <w:rsid w:val="00B31B79"/>
    <w:rsid w:val="00B32CC7"/>
    <w:rsid w:val="00B33C23"/>
    <w:rsid w:val="00B360BD"/>
    <w:rsid w:val="00B40D2C"/>
    <w:rsid w:val="00B41512"/>
    <w:rsid w:val="00B4169B"/>
    <w:rsid w:val="00B43064"/>
    <w:rsid w:val="00B43078"/>
    <w:rsid w:val="00B43A28"/>
    <w:rsid w:val="00B4494C"/>
    <w:rsid w:val="00B44D3A"/>
    <w:rsid w:val="00B53D5E"/>
    <w:rsid w:val="00B54EE1"/>
    <w:rsid w:val="00B5631D"/>
    <w:rsid w:val="00B5661B"/>
    <w:rsid w:val="00B5668F"/>
    <w:rsid w:val="00B568B4"/>
    <w:rsid w:val="00B56C48"/>
    <w:rsid w:val="00B56CE3"/>
    <w:rsid w:val="00B56EC3"/>
    <w:rsid w:val="00B575BA"/>
    <w:rsid w:val="00B61557"/>
    <w:rsid w:val="00B61671"/>
    <w:rsid w:val="00B61FDE"/>
    <w:rsid w:val="00B65DC1"/>
    <w:rsid w:val="00B7320D"/>
    <w:rsid w:val="00B738F8"/>
    <w:rsid w:val="00B7395C"/>
    <w:rsid w:val="00B73CCA"/>
    <w:rsid w:val="00B75530"/>
    <w:rsid w:val="00B758CA"/>
    <w:rsid w:val="00B7689E"/>
    <w:rsid w:val="00B76B66"/>
    <w:rsid w:val="00B807DA"/>
    <w:rsid w:val="00B81D22"/>
    <w:rsid w:val="00B84423"/>
    <w:rsid w:val="00B85C03"/>
    <w:rsid w:val="00B90F9C"/>
    <w:rsid w:val="00B921F8"/>
    <w:rsid w:val="00B92686"/>
    <w:rsid w:val="00B933F8"/>
    <w:rsid w:val="00B938C3"/>
    <w:rsid w:val="00B93B6F"/>
    <w:rsid w:val="00B96B2D"/>
    <w:rsid w:val="00B979C2"/>
    <w:rsid w:val="00BA099D"/>
    <w:rsid w:val="00BA146D"/>
    <w:rsid w:val="00BA183E"/>
    <w:rsid w:val="00BA2F01"/>
    <w:rsid w:val="00BA36C4"/>
    <w:rsid w:val="00BA395B"/>
    <w:rsid w:val="00BA424F"/>
    <w:rsid w:val="00BB00C4"/>
    <w:rsid w:val="00BB2591"/>
    <w:rsid w:val="00BB2E2F"/>
    <w:rsid w:val="00BB410D"/>
    <w:rsid w:val="00BB4512"/>
    <w:rsid w:val="00BB4940"/>
    <w:rsid w:val="00BB67DF"/>
    <w:rsid w:val="00BC05B2"/>
    <w:rsid w:val="00BC1420"/>
    <w:rsid w:val="00BC338A"/>
    <w:rsid w:val="00BC4788"/>
    <w:rsid w:val="00BC4AE8"/>
    <w:rsid w:val="00BC58FE"/>
    <w:rsid w:val="00BC5B31"/>
    <w:rsid w:val="00BC5FCF"/>
    <w:rsid w:val="00BC60B5"/>
    <w:rsid w:val="00BC68B1"/>
    <w:rsid w:val="00BC777F"/>
    <w:rsid w:val="00BC7BE1"/>
    <w:rsid w:val="00BD018E"/>
    <w:rsid w:val="00BD0942"/>
    <w:rsid w:val="00BD19F8"/>
    <w:rsid w:val="00BD21E1"/>
    <w:rsid w:val="00BD2403"/>
    <w:rsid w:val="00BD314C"/>
    <w:rsid w:val="00BD3F0B"/>
    <w:rsid w:val="00BD5D65"/>
    <w:rsid w:val="00BD61EE"/>
    <w:rsid w:val="00BD624A"/>
    <w:rsid w:val="00BD63CC"/>
    <w:rsid w:val="00BD675A"/>
    <w:rsid w:val="00BD6E8B"/>
    <w:rsid w:val="00BE0915"/>
    <w:rsid w:val="00BE0F41"/>
    <w:rsid w:val="00BE1622"/>
    <w:rsid w:val="00BE33BF"/>
    <w:rsid w:val="00BE37AC"/>
    <w:rsid w:val="00BE4D2E"/>
    <w:rsid w:val="00BE4D31"/>
    <w:rsid w:val="00BE5CD7"/>
    <w:rsid w:val="00BE702C"/>
    <w:rsid w:val="00BF086F"/>
    <w:rsid w:val="00BF0EC4"/>
    <w:rsid w:val="00BF19F9"/>
    <w:rsid w:val="00BF3267"/>
    <w:rsid w:val="00BF3941"/>
    <w:rsid w:val="00BF39DD"/>
    <w:rsid w:val="00BF41B8"/>
    <w:rsid w:val="00BF5067"/>
    <w:rsid w:val="00C003C3"/>
    <w:rsid w:val="00C007F6"/>
    <w:rsid w:val="00C00B59"/>
    <w:rsid w:val="00C01AB7"/>
    <w:rsid w:val="00C01FBD"/>
    <w:rsid w:val="00C025D4"/>
    <w:rsid w:val="00C0284F"/>
    <w:rsid w:val="00C03932"/>
    <w:rsid w:val="00C03C01"/>
    <w:rsid w:val="00C03D30"/>
    <w:rsid w:val="00C05092"/>
    <w:rsid w:val="00C06F79"/>
    <w:rsid w:val="00C07680"/>
    <w:rsid w:val="00C076A5"/>
    <w:rsid w:val="00C07A17"/>
    <w:rsid w:val="00C107AC"/>
    <w:rsid w:val="00C109D4"/>
    <w:rsid w:val="00C11044"/>
    <w:rsid w:val="00C111CE"/>
    <w:rsid w:val="00C158F8"/>
    <w:rsid w:val="00C17654"/>
    <w:rsid w:val="00C196BD"/>
    <w:rsid w:val="00C21F11"/>
    <w:rsid w:val="00C2408F"/>
    <w:rsid w:val="00C300F8"/>
    <w:rsid w:val="00C335C1"/>
    <w:rsid w:val="00C35C63"/>
    <w:rsid w:val="00C36FF0"/>
    <w:rsid w:val="00C3729F"/>
    <w:rsid w:val="00C41FCE"/>
    <w:rsid w:val="00C4234C"/>
    <w:rsid w:val="00C42497"/>
    <w:rsid w:val="00C44B0D"/>
    <w:rsid w:val="00C47B9D"/>
    <w:rsid w:val="00C47E04"/>
    <w:rsid w:val="00C52C51"/>
    <w:rsid w:val="00C52F12"/>
    <w:rsid w:val="00C55488"/>
    <w:rsid w:val="00C56DA5"/>
    <w:rsid w:val="00C56FFC"/>
    <w:rsid w:val="00C62D27"/>
    <w:rsid w:val="00C62DCC"/>
    <w:rsid w:val="00C640FA"/>
    <w:rsid w:val="00C64B7D"/>
    <w:rsid w:val="00C6605C"/>
    <w:rsid w:val="00C6733D"/>
    <w:rsid w:val="00C71896"/>
    <w:rsid w:val="00C72F89"/>
    <w:rsid w:val="00C742CE"/>
    <w:rsid w:val="00C744E2"/>
    <w:rsid w:val="00C74978"/>
    <w:rsid w:val="00C759FB"/>
    <w:rsid w:val="00C76522"/>
    <w:rsid w:val="00C76D90"/>
    <w:rsid w:val="00C77370"/>
    <w:rsid w:val="00C80D5D"/>
    <w:rsid w:val="00C81396"/>
    <w:rsid w:val="00C859CD"/>
    <w:rsid w:val="00C8618C"/>
    <w:rsid w:val="00C87892"/>
    <w:rsid w:val="00C90912"/>
    <w:rsid w:val="00C90969"/>
    <w:rsid w:val="00C937FA"/>
    <w:rsid w:val="00C93EDE"/>
    <w:rsid w:val="00C95357"/>
    <w:rsid w:val="00C95688"/>
    <w:rsid w:val="00C96B36"/>
    <w:rsid w:val="00CA03F9"/>
    <w:rsid w:val="00CA081F"/>
    <w:rsid w:val="00CA1665"/>
    <w:rsid w:val="00CA1C31"/>
    <w:rsid w:val="00CA1FC6"/>
    <w:rsid w:val="00CA3381"/>
    <w:rsid w:val="00CA3694"/>
    <w:rsid w:val="00CA380E"/>
    <w:rsid w:val="00CA3F43"/>
    <w:rsid w:val="00CA4C7C"/>
    <w:rsid w:val="00CA748A"/>
    <w:rsid w:val="00CA7F54"/>
    <w:rsid w:val="00CB0181"/>
    <w:rsid w:val="00CB2708"/>
    <w:rsid w:val="00CB3148"/>
    <w:rsid w:val="00CB4015"/>
    <w:rsid w:val="00CB49D5"/>
    <w:rsid w:val="00CB4B76"/>
    <w:rsid w:val="00CB4D78"/>
    <w:rsid w:val="00CB5F38"/>
    <w:rsid w:val="00CB6788"/>
    <w:rsid w:val="00CB7273"/>
    <w:rsid w:val="00CC0804"/>
    <w:rsid w:val="00CC0F0A"/>
    <w:rsid w:val="00CC130F"/>
    <w:rsid w:val="00CC19A9"/>
    <w:rsid w:val="00CC19FF"/>
    <w:rsid w:val="00CC1EFE"/>
    <w:rsid w:val="00CC5451"/>
    <w:rsid w:val="00CC54E7"/>
    <w:rsid w:val="00CC57D6"/>
    <w:rsid w:val="00CC5D48"/>
    <w:rsid w:val="00CC6D42"/>
    <w:rsid w:val="00CC73E1"/>
    <w:rsid w:val="00CD1220"/>
    <w:rsid w:val="00CD240F"/>
    <w:rsid w:val="00CD2DFD"/>
    <w:rsid w:val="00CD33D0"/>
    <w:rsid w:val="00CD35C4"/>
    <w:rsid w:val="00CD3C5B"/>
    <w:rsid w:val="00CD3CB8"/>
    <w:rsid w:val="00CD59CA"/>
    <w:rsid w:val="00CD5D30"/>
    <w:rsid w:val="00CD6438"/>
    <w:rsid w:val="00CD7295"/>
    <w:rsid w:val="00CE0950"/>
    <w:rsid w:val="00CE36C0"/>
    <w:rsid w:val="00CE554D"/>
    <w:rsid w:val="00CE6772"/>
    <w:rsid w:val="00CE7D93"/>
    <w:rsid w:val="00CF0BC0"/>
    <w:rsid w:val="00CF0F3B"/>
    <w:rsid w:val="00CF24E1"/>
    <w:rsid w:val="00CF3444"/>
    <w:rsid w:val="00CF36A1"/>
    <w:rsid w:val="00CF5E48"/>
    <w:rsid w:val="00CF6213"/>
    <w:rsid w:val="00CF7709"/>
    <w:rsid w:val="00D006BD"/>
    <w:rsid w:val="00D00E35"/>
    <w:rsid w:val="00D011BA"/>
    <w:rsid w:val="00D033B6"/>
    <w:rsid w:val="00D0392C"/>
    <w:rsid w:val="00D0407D"/>
    <w:rsid w:val="00D042A5"/>
    <w:rsid w:val="00D06E8A"/>
    <w:rsid w:val="00D07FD9"/>
    <w:rsid w:val="00D11A7E"/>
    <w:rsid w:val="00D13F06"/>
    <w:rsid w:val="00D165EA"/>
    <w:rsid w:val="00D20C5A"/>
    <w:rsid w:val="00D20EA7"/>
    <w:rsid w:val="00D21066"/>
    <w:rsid w:val="00D21A91"/>
    <w:rsid w:val="00D23E48"/>
    <w:rsid w:val="00D2681C"/>
    <w:rsid w:val="00D2681E"/>
    <w:rsid w:val="00D26BF8"/>
    <w:rsid w:val="00D27773"/>
    <w:rsid w:val="00D27835"/>
    <w:rsid w:val="00D32C63"/>
    <w:rsid w:val="00D3406B"/>
    <w:rsid w:val="00D34B24"/>
    <w:rsid w:val="00D42543"/>
    <w:rsid w:val="00D42B9F"/>
    <w:rsid w:val="00D454EC"/>
    <w:rsid w:val="00D45867"/>
    <w:rsid w:val="00D50630"/>
    <w:rsid w:val="00D50BE9"/>
    <w:rsid w:val="00D52669"/>
    <w:rsid w:val="00D54929"/>
    <w:rsid w:val="00D556DF"/>
    <w:rsid w:val="00D56173"/>
    <w:rsid w:val="00D57B85"/>
    <w:rsid w:val="00D6009B"/>
    <w:rsid w:val="00D6094B"/>
    <w:rsid w:val="00D6481B"/>
    <w:rsid w:val="00D64A7C"/>
    <w:rsid w:val="00D64C0B"/>
    <w:rsid w:val="00D64D68"/>
    <w:rsid w:val="00D65797"/>
    <w:rsid w:val="00D66525"/>
    <w:rsid w:val="00D668A6"/>
    <w:rsid w:val="00D67F74"/>
    <w:rsid w:val="00D707B7"/>
    <w:rsid w:val="00D70C39"/>
    <w:rsid w:val="00D71356"/>
    <w:rsid w:val="00D72DDD"/>
    <w:rsid w:val="00D74AE3"/>
    <w:rsid w:val="00D7548C"/>
    <w:rsid w:val="00D75F18"/>
    <w:rsid w:val="00D765BC"/>
    <w:rsid w:val="00D77D4B"/>
    <w:rsid w:val="00D807C8"/>
    <w:rsid w:val="00D810F0"/>
    <w:rsid w:val="00D84C34"/>
    <w:rsid w:val="00D851F0"/>
    <w:rsid w:val="00D86C2E"/>
    <w:rsid w:val="00D94610"/>
    <w:rsid w:val="00D95D0B"/>
    <w:rsid w:val="00D95DFC"/>
    <w:rsid w:val="00D9640E"/>
    <w:rsid w:val="00D97EA6"/>
    <w:rsid w:val="00DA0623"/>
    <w:rsid w:val="00DA0777"/>
    <w:rsid w:val="00DA17D2"/>
    <w:rsid w:val="00DA214B"/>
    <w:rsid w:val="00DA2188"/>
    <w:rsid w:val="00DA2B8E"/>
    <w:rsid w:val="00DA3F1F"/>
    <w:rsid w:val="00DA405D"/>
    <w:rsid w:val="00DA4655"/>
    <w:rsid w:val="00DA4C9D"/>
    <w:rsid w:val="00DA5331"/>
    <w:rsid w:val="00DA537C"/>
    <w:rsid w:val="00DA57A1"/>
    <w:rsid w:val="00DA5A2E"/>
    <w:rsid w:val="00DA5C2B"/>
    <w:rsid w:val="00DA61CF"/>
    <w:rsid w:val="00DA6A09"/>
    <w:rsid w:val="00DA70B6"/>
    <w:rsid w:val="00DB1654"/>
    <w:rsid w:val="00DB477D"/>
    <w:rsid w:val="00DB55A9"/>
    <w:rsid w:val="00DB60C0"/>
    <w:rsid w:val="00DB63BB"/>
    <w:rsid w:val="00DB75BF"/>
    <w:rsid w:val="00DC3D9C"/>
    <w:rsid w:val="00DC7485"/>
    <w:rsid w:val="00DC7941"/>
    <w:rsid w:val="00DD1637"/>
    <w:rsid w:val="00DD3334"/>
    <w:rsid w:val="00DD73B0"/>
    <w:rsid w:val="00DD7CC9"/>
    <w:rsid w:val="00DE1225"/>
    <w:rsid w:val="00DE3088"/>
    <w:rsid w:val="00DE3D38"/>
    <w:rsid w:val="00DE4821"/>
    <w:rsid w:val="00DE49BF"/>
    <w:rsid w:val="00DE6802"/>
    <w:rsid w:val="00DF07EA"/>
    <w:rsid w:val="00DF1D73"/>
    <w:rsid w:val="00DF3809"/>
    <w:rsid w:val="00DF403C"/>
    <w:rsid w:val="00DF4A08"/>
    <w:rsid w:val="00E0032E"/>
    <w:rsid w:val="00E00C0B"/>
    <w:rsid w:val="00E0116B"/>
    <w:rsid w:val="00E0152F"/>
    <w:rsid w:val="00E01EF5"/>
    <w:rsid w:val="00E0240D"/>
    <w:rsid w:val="00E02755"/>
    <w:rsid w:val="00E0333D"/>
    <w:rsid w:val="00E038AB"/>
    <w:rsid w:val="00E039DE"/>
    <w:rsid w:val="00E03F2F"/>
    <w:rsid w:val="00E046E7"/>
    <w:rsid w:val="00E05BAC"/>
    <w:rsid w:val="00E07F4A"/>
    <w:rsid w:val="00E12406"/>
    <w:rsid w:val="00E13866"/>
    <w:rsid w:val="00E13EB0"/>
    <w:rsid w:val="00E142CB"/>
    <w:rsid w:val="00E148B4"/>
    <w:rsid w:val="00E14E75"/>
    <w:rsid w:val="00E157F4"/>
    <w:rsid w:val="00E16793"/>
    <w:rsid w:val="00E172C4"/>
    <w:rsid w:val="00E203F1"/>
    <w:rsid w:val="00E204C5"/>
    <w:rsid w:val="00E206AE"/>
    <w:rsid w:val="00E20C4E"/>
    <w:rsid w:val="00E21083"/>
    <w:rsid w:val="00E211DA"/>
    <w:rsid w:val="00E22484"/>
    <w:rsid w:val="00E25724"/>
    <w:rsid w:val="00E25C4C"/>
    <w:rsid w:val="00E26392"/>
    <w:rsid w:val="00E26811"/>
    <w:rsid w:val="00E26D07"/>
    <w:rsid w:val="00E2738D"/>
    <w:rsid w:val="00E27C40"/>
    <w:rsid w:val="00E30134"/>
    <w:rsid w:val="00E33759"/>
    <w:rsid w:val="00E3391E"/>
    <w:rsid w:val="00E33FA0"/>
    <w:rsid w:val="00E3735D"/>
    <w:rsid w:val="00E40EA3"/>
    <w:rsid w:val="00E42D35"/>
    <w:rsid w:val="00E44DE2"/>
    <w:rsid w:val="00E508AC"/>
    <w:rsid w:val="00E534A2"/>
    <w:rsid w:val="00E55FDD"/>
    <w:rsid w:val="00E564AB"/>
    <w:rsid w:val="00E5683A"/>
    <w:rsid w:val="00E56BF8"/>
    <w:rsid w:val="00E57541"/>
    <w:rsid w:val="00E5790C"/>
    <w:rsid w:val="00E60B6E"/>
    <w:rsid w:val="00E60DCF"/>
    <w:rsid w:val="00E6381E"/>
    <w:rsid w:val="00E64ABC"/>
    <w:rsid w:val="00E65861"/>
    <w:rsid w:val="00E6691E"/>
    <w:rsid w:val="00E67303"/>
    <w:rsid w:val="00E702C3"/>
    <w:rsid w:val="00E73B36"/>
    <w:rsid w:val="00E74627"/>
    <w:rsid w:val="00E779C6"/>
    <w:rsid w:val="00E816A3"/>
    <w:rsid w:val="00E8184B"/>
    <w:rsid w:val="00E84535"/>
    <w:rsid w:val="00E84763"/>
    <w:rsid w:val="00E84BDC"/>
    <w:rsid w:val="00E85656"/>
    <w:rsid w:val="00E875D5"/>
    <w:rsid w:val="00E87A9B"/>
    <w:rsid w:val="00E9020B"/>
    <w:rsid w:val="00E91564"/>
    <w:rsid w:val="00E92F83"/>
    <w:rsid w:val="00E93FB7"/>
    <w:rsid w:val="00E94560"/>
    <w:rsid w:val="00E94C08"/>
    <w:rsid w:val="00E95738"/>
    <w:rsid w:val="00E95D89"/>
    <w:rsid w:val="00E97AE2"/>
    <w:rsid w:val="00EA222A"/>
    <w:rsid w:val="00EA3816"/>
    <w:rsid w:val="00EA3AA9"/>
    <w:rsid w:val="00EA3E59"/>
    <w:rsid w:val="00EA4ADB"/>
    <w:rsid w:val="00EA533D"/>
    <w:rsid w:val="00EA77DA"/>
    <w:rsid w:val="00EA7C00"/>
    <w:rsid w:val="00EB022B"/>
    <w:rsid w:val="00EB131F"/>
    <w:rsid w:val="00EB1812"/>
    <w:rsid w:val="00EB1F41"/>
    <w:rsid w:val="00EC30B5"/>
    <w:rsid w:val="00EC42A9"/>
    <w:rsid w:val="00EC44F9"/>
    <w:rsid w:val="00EC4804"/>
    <w:rsid w:val="00EC5EFE"/>
    <w:rsid w:val="00EC6D6B"/>
    <w:rsid w:val="00EC7056"/>
    <w:rsid w:val="00ED2C82"/>
    <w:rsid w:val="00ED3B0E"/>
    <w:rsid w:val="00ED5E7E"/>
    <w:rsid w:val="00ED6151"/>
    <w:rsid w:val="00EE0061"/>
    <w:rsid w:val="00EE0609"/>
    <w:rsid w:val="00EE1FFC"/>
    <w:rsid w:val="00EE3AFE"/>
    <w:rsid w:val="00EE40B1"/>
    <w:rsid w:val="00EE53A5"/>
    <w:rsid w:val="00EE5F3C"/>
    <w:rsid w:val="00EE6723"/>
    <w:rsid w:val="00EE6FFA"/>
    <w:rsid w:val="00EE7650"/>
    <w:rsid w:val="00EE7A73"/>
    <w:rsid w:val="00EE7CB9"/>
    <w:rsid w:val="00EF139C"/>
    <w:rsid w:val="00EF1830"/>
    <w:rsid w:val="00EF1E36"/>
    <w:rsid w:val="00EF2CE3"/>
    <w:rsid w:val="00EF337F"/>
    <w:rsid w:val="00EF3698"/>
    <w:rsid w:val="00F0222B"/>
    <w:rsid w:val="00F043C5"/>
    <w:rsid w:val="00F10012"/>
    <w:rsid w:val="00F108CB"/>
    <w:rsid w:val="00F11019"/>
    <w:rsid w:val="00F11D3A"/>
    <w:rsid w:val="00F121BE"/>
    <w:rsid w:val="00F127D5"/>
    <w:rsid w:val="00F13EFE"/>
    <w:rsid w:val="00F150C8"/>
    <w:rsid w:val="00F152A9"/>
    <w:rsid w:val="00F201CE"/>
    <w:rsid w:val="00F2089B"/>
    <w:rsid w:val="00F2193D"/>
    <w:rsid w:val="00F22F9F"/>
    <w:rsid w:val="00F2323C"/>
    <w:rsid w:val="00F235E0"/>
    <w:rsid w:val="00F23BD7"/>
    <w:rsid w:val="00F25089"/>
    <w:rsid w:val="00F25D3A"/>
    <w:rsid w:val="00F30290"/>
    <w:rsid w:val="00F312C2"/>
    <w:rsid w:val="00F31825"/>
    <w:rsid w:val="00F32DAC"/>
    <w:rsid w:val="00F33812"/>
    <w:rsid w:val="00F3503C"/>
    <w:rsid w:val="00F3560B"/>
    <w:rsid w:val="00F36AF6"/>
    <w:rsid w:val="00F37253"/>
    <w:rsid w:val="00F41090"/>
    <w:rsid w:val="00F41E8E"/>
    <w:rsid w:val="00F4405A"/>
    <w:rsid w:val="00F4435E"/>
    <w:rsid w:val="00F44AEF"/>
    <w:rsid w:val="00F45295"/>
    <w:rsid w:val="00F47A27"/>
    <w:rsid w:val="00F47BB7"/>
    <w:rsid w:val="00F50524"/>
    <w:rsid w:val="00F50AC4"/>
    <w:rsid w:val="00F513A8"/>
    <w:rsid w:val="00F51D12"/>
    <w:rsid w:val="00F51D49"/>
    <w:rsid w:val="00F526AF"/>
    <w:rsid w:val="00F52897"/>
    <w:rsid w:val="00F539E1"/>
    <w:rsid w:val="00F53ADE"/>
    <w:rsid w:val="00F53C9B"/>
    <w:rsid w:val="00F54364"/>
    <w:rsid w:val="00F546EC"/>
    <w:rsid w:val="00F60C07"/>
    <w:rsid w:val="00F611EE"/>
    <w:rsid w:val="00F612BB"/>
    <w:rsid w:val="00F62070"/>
    <w:rsid w:val="00F62E73"/>
    <w:rsid w:val="00F63092"/>
    <w:rsid w:val="00F63647"/>
    <w:rsid w:val="00F65184"/>
    <w:rsid w:val="00F6616C"/>
    <w:rsid w:val="00F70B00"/>
    <w:rsid w:val="00F71E62"/>
    <w:rsid w:val="00F7489E"/>
    <w:rsid w:val="00F77702"/>
    <w:rsid w:val="00F81DC2"/>
    <w:rsid w:val="00F825A8"/>
    <w:rsid w:val="00F83B33"/>
    <w:rsid w:val="00F83E8C"/>
    <w:rsid w:val="00F849E5"/>
    <w:rsid w:val="00F84B00"/>
    <w:rsid w:val="00F872DA"/>
    <w:rsid w:val="00F90033"/>
    <w:rsid w:val="00F9071D"/>
    <w:rsid w:val="00F90AD2"/>
    <w:rsid w:val="00F92235"/>
    <w:rsid w:val="00F9266B"/>
    <w:rsid w:val="00F937AA"/>
    <w:rsid w:val="00F93CD6"/>
    <w:rsid w:val="00F94E63"/>
    <w:rsid w:val="00F952D9"/>
    <w:rsid w:val="00F96CD5"/>
    <w:rsid w:val="00F97DE8"/>
    <w:rsid w:val="00F97E85"/>
    <w:rsid w:val="00FA02E4"/>
    <w:rsid w:val="00FA4FED"/>
    <w:rsid w:val="00FA58AB"/>
    <w:rsid w:val="00FA5996"/>
    <w:rsid w:val="00FA5CA7"/>
    <w:rsid w:val="00FA60BE"/>
    <w:rsid w:val="00FB106A"/>
    <w:rsid w:val="00FB1CDD"/>
    <w:rsid w:val="00FB3B7A"/>
    <w:rsid w:val="00FB3CA0"/>
    <w:rsid w:val="00FB6BC2"/>
    <w:rsid w:val="00FB6F26"/>
    <w:rsid w:val="00FB7ED3"/>
    <w:rsid w:val="00FC11FE"/>
    <w:rsid w:val="00FC1E7E"/>
    <w:rsid w:val="00FC2609"/>
    <w:rsid w:val="00FC6328"/>
    <w:rsid w:val="00FC6E16"/>
    <w:rsid w:val="00FC7A56"/>
    <w:rsid w:val="00FD1023"/>
    <w:rsid w:val="00FD1D06"/>
    <w:rsid w:val="00FD261D"/>
    <w:rsid w:val="00FD2DCF"/>
    <w:rsid w:val="00FD32DA"/>
    <w:rsid w:val="00FD4160"/>
    <w:rsid w:val="00FD480B"/>
    <w:rsid w:val="00FD6AC7"/>
    <w:rsid w:val="00FD7D2D"/>
    <w:rsid w:val="00FE0290"/>
    <w:rsid w:val="00FE0B5F"/>
    <w:rsid w:val="00FE12CE"/>
    <w:rsid w:val="00FE1786"/>
    <w:rsid w:val="00FE22F1"/>
    <w:rsid w:val="00FE2381"/>
    <w:rsid w:val="00FE4420"/>
    <w:rsid w:val="00FE5464"/>
    <w:rsid w:val="00FE6A55"/>
    <w:rsid w:val="00FE7F88"/>
    <w:rsid w:val="00FF0180"/>
    <w:rsid w:val="00FF0B9F"/>
    <w:rsid w:val="00FF0BA9"/>
    <w:rsid w:val="00FF1236"/>
    <w:rsid w:val="00FF2196"/>
    <w:rsid w:val="00FF24F0"/>
    <w:rsid w:val="00FF29AA"/>
    <w:rsid w:val="00FF3B93"/>
    <w:rsid w:val="00FF4052"/>
    <w:rsid w:val="00FF48E2"/>
    <w:rsid w:val="00FF5126"/>
    <w:rsid w:val="00FF62E2"/>
    <w:rsid w:val="00FF63C9"/>
    <w:rsid w:val="00FF6533"/>
    <w:rsid w:val="00FF7D1B"/>
    <w:rsid w:val="00FF7FEA"/>
    <w:rsid w:val="05F0CEDC"/>
    <w:rsid w:val="07D2B134"/>
    <w:rsid w:val="096BA37D"/>
    <w:rsid w:val="0FAA4CAA"/>
    <w:rsid w:val="11479542"/>
    <w:rsid w:val="12DBAD96"/>
    <w:rsid w:val="161AC294"/>
    <w:rsid w:val="17D4ACA6"/>
    <w:rsid w:val="198EB7D4"/>
    <w:rsid w:val="1B61BEDE"/>
    <w:rsid w:val="1C9A98C6"/>
    <w:rsid w:val="2081A96E"/>
    <w:rsid w:val="22DA8C7D"/>
    <w:rsid w:val="254752B7"/>
    <w:rsid w:val="28E75A5F"/>
    <w:rsid w:val="2A40A9F2"/>
    <w:rsid w:val="2AFF49A2"/>
    <w:rsid w:val="358E95A5"/>
    <w:rsid w:val="38E97CB4"/>
    <w:rsid w:val="39A85E90"/>
    <w:rsid w:val="445E2122"/>
    <w:rsid w:val="45A9511E"/>
    <w:rsid w:val="48A07818"/>
    <w:rsid w:val="48B4DCA4"/>
    <w:rsid w:val="49DA9104"/>
    <w:rsid w:val="4E429E4C"/>
    <w:rsid w:val="4F405786"/>
    <w:rsid w:val="58074D5C"/>
    <w:rsid w:val="5F036923"/>
    <w:rsid w:val="61D2E5F3"/>
    <w:rsid w:val="63F575DA"/>
    <w:rsid w:val="69E688AA"/>
    <w:rsid w:val="6FBAFF5A"/>
    <w:rsid w:val="722AD9E3"/>
    <w:rsid w:val="75A4FD51"/>
    <w:rsid w:val="76D57649"/>
    <w:rsid w:val="7F0E9CE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F71B05"/>
  <w15:docId w15:val="{8143377E-CF3B-41F5-9730-3E78D219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3BC4"/>
    <w:pPr>
      <w:spacing w:line="240" w:lineRule="exact"/>
    </w:pPr>
    <w:rPr>
      <w:rFonts w:ascii="Verdana" w:hAnsi="Verdana"/>
      <w:sz w:val="15"/>
    </w:rPr>
  </w:style>
  <w:style w:type="paragraph" w:styleId="berschrift1">
    <w:name w:val="heading 1"/>
    <w:basedOn w:val="Standard"/>
    <w:next w:val="Standard"/>
    <w:link w:val="berschrift1Zchn"/>
    <w:uiPriority w:val="9"/>
    <w:qFormat/>
    <w:rsid w:val="00F6616C"/>
    <w:pPr>
      <w:spacing w:line="320" w:lineRule="exact"/>
      <w:outlineLvl w:val="0"/>
    </w:pPr>
    <w:rPr>
      <w:b/>
      <w:caps/>
      <w:sz w:val="22"/>
      <w:szCs w:val="28"/>
    </w:rPr>
  </w:style>
  <w:style w:type="paragraph" w:styleId="berschrift2">
    <w:name w:val="heading 2"/>
    <w:basedOn w:val="Standard"/>
    <w:next w:val="Standard"/>
    <w:link w:val="berschrift2Zchn"/>
    <w:uiPriority w:val="9"/>
    <w:semiHidden/>
    <w:unhideWhenUsed/>
    <w:qFormat/>
    <w:rsid w:val="00FE7F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9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lein">
    <w:name w:val="Text klein"/>
    <w:basedOn w:val="Standard"/>
    <w:qFormat/>
    <w:rsid w:val="00ED6151"/>
    <w:pPr>
      <w:spacing w:line="200" w:lineRule="exact"/>
    </w:pPr>
    <w:rPr>
      <w:sz w:val="13"/>
      <w:szCs w:val="14"/>
    </w:rPr>
  </w:style>
  <w:style w:type="character" w:styleId="Platzhaltertext">
    <w:name w:val="Placeholder Text"/>
    <w:basedOn w:val="Absatz-Standardschriftart"/>
    <w:uiPriority w:val="99"/>
    <w:semiHidden/>
    <w:rsid w:val="0084356F"/>
    <w:rPr>
      <w:color w:val="808080"/>
    </w:rPr>
  </w:style>
  <w:style w:type="paragraph" w:styleId="Sprechblasentext">
    <w:name w:val="Balloon Text"/>
    <w:basedOn w:val="Standard"/>
    <w:link w:val="SprechblasentextZchn"/>
    <w:uiPriority w:val="99"/>
    <w:semiHidden/>
    <w:unhideWhenUsed/>
    <w:rsid w:val="0084356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356F"/>
    <w:rPr>
      <w:rFonts w:ascii="Tahoma" w:hAnsi="Tahoma" w:cs="Tahoma"/>
      <w:sz w:val="16"/>
      <w:szCs w:val="16"/>
    </w:rPr>
  </w:style>
  <w:style w:type="paragraph" w:styleId="Kopfzeile">
    <w:name w:val="header"/>
    <w:basedOn w:val="Standard"/>
    <w:link w:val="KopfzeileZchn"/>
    <w:uiPriority w:val="99"/>
    <w:unhideWhenUsed/>
    <w:rsid w:val="002A7F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A7F66"/>
    <w:rPr>
      <w:rFonts w:ascii="Verdana" w:hAnsi="Verdana"/>
      <w:sz w:val="18"/>
    </w:rPr>
  </w:style>
  <w:style w:type="paragraph" w:styleId="Fuzeile">
    <w:name w:val="footer"/>
    <w:basedOn w:val="Standard"/>
    <w:link w:val="FuzeileZchn"/>
    <w:uiPriority w:val="99"/>
    <w:unhideWhenUsed/>
    <w:rsid w:val="002A7F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7F66"/>
    <w:rPr>
      <w:rFonts w:ascii="Verdana" w:hAnsi="Verdana"/>
      <w:sz w:val="18"/>
    </w:rPr>
  </w:style>
  <w:style w:type="paragraph" w:customStyle="1" w:styleId="Bold">
    <w:name w:val="Bold"/>
    <w:basedOn w:val="Standard"/>
    <w:qFormat/>
    <w:rsid w:val="00916919"/>
    <w:rPr>
      <w:b/>
    </w:rPr>
  </w:style>
  <w:style w:type="character" w:customStyle="1" w:styleId="Zeichenklein">
    <w:name w:val="Zeichen klein"/>
    <w:basedOn w:val="Absatz-Standardschriftart"/>
    <w:uiPriority w:val="1"/>
    <w:qFormat/>
    <w:rsid w:val="00ED6151"/>
    <w:rPr>
      <w:rFonts w:ascii="Verdana" w:hAnsi="Verdana"/>
      <w:sz w:val="13"/>
    </w:rPr>
  </w:style>
  <w:style w:type="character" w:customStyle="1" w:styleId="berschrift1Zchn">
    <w:name w:val="Überschrift 1 Zchn"/>
    <w:basedOn w:val="Absatz-Standardschriftart"/>
    <w:link w:val="berschrift1"/>
    <w:uiPriority w:val="9"/>
    <w:rsid w:val="00F6616C"/>
    <w:rPr>
      <w:rFonts w:ascii="Verdana" w:hAnsi="Verdana"/>
      <w:b/>
      <w:caps/>
      <w:sz w:val="22"/>
      <w:szCs w:val="28"/>
    </w:rPr>
  </w:style>
  <w:style w:type="character" w:customStyle="1" w:styleId="BoldZeichen">
    <w:name w:val="Bold Zeichen"/>
    <w:basedOn w:val="Absatz-Standardschriftart"/>
    <w:uiPriority w:val="1"/>
    <w:qFormat/>
    <w:rsid w:val="00112A52"/>
    <w:rPr>
      <w:b/>
    </w:rPr>
  </w:style>
  <w:style w:type="paragraph" w:styleId="Listenabsatz">
    <w:name w:val="List Paragraph"/>
    <w:basedOn w:val="Standard"/>
    <w:uiPriority w:val="34"/>
    <w:qFormat/>
    <w:rsid w:val="007E5396"/>
    <w:pPr>
      <w:ind w:left="720"/>
      <w:contextualSpacing/>
    </w:pPr>
  </w:style>
  <w:style w:type="paragraph" w:customStyle="1" w:styleId="Formatvorlage1">
    <w:name w:val="Formatvorlage1"/>
    <w:basedOn w:val="Standard"/>
    <w:link w:val="Formatvorlage1Zchn"/>
    <w:rsid w:val="00AE1F42"/>
  </w:style>
  <w:style w:type="paragraph" w:customStyle="1" w:styleId="StandardtextmitAufzhlung">
    <w:name w:val="Standardtext mit Aufzählung"/>
    <w:basedOn w:val="Standard"/>
    <w:next w:val="Standard"/>
    <w:qFormat/>
    <w:rsid w:val="00DE6802"/>
    <w:pPr>
      <w:numPr>
        <w:numId w:val="14"/>
      </w:numPr>
    </w:pPr>
  </w:style>
  <w:style w:type="character" w:customStyle="1" w:styleId="Formatvorlage1Zchn">
    <w:name w:val="Formatvorlage1 Zchn"/>
    <w:basedOn w:val="Absatz-Standardschriftart"/>
    <w:link w:val="Formatvorlage1"/>
    <w:rsid w:val="00AE1F42"/>
    <w:rPr>
      <w:rFonts w:ascii="Verdana" w:hAnsi="Verdana"/>
      <w:sz w:val="15"/>
    </w:rPr>
  </w:style>
  <w:style w:type="table" w:customStyle="1" w:styleId="Tabellenraster1">
    <w:name w:val="Tabellenraster1"/>
    <w:basedOn w:val="NormaleTabelle"/>
    <w:next w:val="Tabellenraster"/>
    <w:uiPriority w:val="59"/>
    <w:rsid w:val="004E563F"/>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FE7F88"/>
    <w:rPr>
      <w:rFonts w:asciiTheme="majorHAnsi" w:eastAsiaTheme="majorEastAsia" w:hAnsiTheme="majorHAnsi" w:cstheme="majorBidi"/>
      <w:color w:val="365F91" w:themeColor="accent1" w:themeShade="BF"/>
      <w:sz w:val="26"/>
      <w:szCs w:val="26"/>
    </w:rPr>
  </w:style>
  <w:style w:type="table" w:customStyle="1" w:styleId="Tabellenraster11">
    <w:name w:val="Tabellenraster11"/>
    <w:basedOn w:val="NormaleTabelle"/>
    <w:next w:val="Tabellenraster"/>
    <w:uiPriority w:val="59"/>
    <w:rsid w:val="00FE7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5D48"/>
    <w:pPr>
      <w:autoSpaceDE w:val="0"/>
      <w:autoSpaceDN w:val="0"/>
      <w:adjustRightInd w:val="0"/>
    </w:pPr>
    <w:rPr>
      <w:rFonts w:ascii="Franklin Gothic Book" w:hAnsi="Franklin Gothic Book" w:cs="Franklin Gothic Book"/>
      <w:color w:val="000000"/>
    </w:rPr>
  </w:style>
  <w:style w:type="character" w:styleId="Hyperlink">
    <w:name w:val="Hyperlink"/>
    <w:basedOn w:val="Absatz-Standardschriftart"/>
    <w:uiPriority w:val="99"/>
    <w:unhideWhenUsed/>
    <w:rsid w:val="00E26392"/>
    <w:rPr>
      <w:rFonts w:cs="Times New Roman"/>
      <w:color w:val="0000FF" w:themeColor="hyperlink"/>
      <w:u w:val="single"/>
    </w:rPr>
  </w:style>
  <w:style w:type="paragraph" w:styleId="StandardWeb">
    <w:name w:val="Normal (Web)"/>
    <w:basedOn w:val="Standard"/>
    <w:uiPriority w:val="99"/>
    <w:semiHidden/>
    <w:unhideWhenUsed/>
    <w:rsid w:val="004868F8"/>
    <w:pPr>
      <w:spacing w:before="100" w:beforeAutospacing="1" w:after="100" w:afterAutospacing="1" w:line="240" w:lineRule="auto"/>
    </w:pPr>
    <w:rPr>
      <w:rFonts w:ascii="Times New Roman" w:hAnsi="Times New Roman" w:cs="Times New Roman"/>
      <w:sz w:val="24"/>
    </w:rPr>
  </w:style>
  <w:style w:type="character" w:styleId="NichtaufgelsteErwhnung">
    <w:name w:val="Unresolved Mention"/>
    <w:basedOn w:val="Absatz-Standardschriftart"/>
    <w:uiPriority w:val="99"/>
    <w:semiHidden/>
    <w:unhideWhenUsed/>
    <w:rsid w:val="002B38B3"/>
    <w:rPr>
      <w:color w:val="605E5C"/>
      <w:shd w:val="clear" w:color="auto" w:fill="E1DFDD"/>
    </w:rPr>
  </w:style>
  <w:style w:type="paragraph" w:styleId="berarbeitung">
    <w:name w:val="Revision"/>
    <w:hidden/>
    <w:uiPriority w:val="99"/>
    <w:semiHidden/>
    <w:rsid w:val="00FE0B5F"/>
    <w:rPr>
      <w:rFonts w:ascii="Verdana" w:hAnsi="Verdana"/>
      <w:sz w:val="15"/>
    </w:rPr>
  </w:style>
  <w:style w:type="character" w:styleId="Kommentarzeichen">
    <w:name w:val="annotation reference"/>
    <w:basedOn w:val="Absatz-Standardschriftart"/>
    <w:uiPriority w:val="99"/>
    <w:semiHidden/>
    <w:unhideWhenUsed/>
    <w:rsid w:val="00FE0B5F"/>
    <w:rPr>
      <w:sz w:val="16"/>
      <w:szCs w:val="16"/>
    </w:rPr>
  </w:style>
  <w:style w:type="paragraph" w:styleId="Kommentartext">
    <w:name w:val="annotation text"/>
    <w:basedOn w:val="Standard"/>
    <w:link w:val="KommentartextZchn"/>
    <w:uiPriority w:val="99"/>
    <w:semiHidden/>
    <w:unhideWhenUsed/>
    <w:rsid w:val="00FE0B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0B5F"/>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FE0B5F"/>
    <w:rPr>
      <w:b/>
      <w:bCs/>
    </w:rPr>
  </w:style>
  <w:style w:type="character" w:customStyle="1" w:styleId="KommentarthemaZchn">
    <w:name w:val="Kommentarthema Zchn"/>
    <w:basedOn w:val="KommentartextZchn"/>
    <w:link w:val="Kommentarthema"/>
    <w:uiPriority w:val="99"/>
    <w:semiHidden/>
    <w:rsid w:val="00FE0B5F"/>
    <w:rPr>
      <w:rFonts w:ascii="Verdana" w:hAnsi="Verdana"/>
      <w:b/>
      <w:bCs/>
      <w:sz w:val="20"/>
      <w:szCs w:val="20"/>
    </w:rPr>
  </w:style>
  <w:style w:type="character" w:styleId="BesuchterLink">
    <w:name w:val="FollowedHyperlink"/>
    <w:basedOn w:val="Absatz-Standardschriftart"/>
    <w:uiPriority w:val="99"/>
    <w:semiHidden/>
    <w:unhideWhenUsed/>
    <w:rsid w:val="002D1F9B"/>
    <w:rPr>
      <w:color w:val="800080" w:themeColor="followedHyperlink"/>
      <w:u w:val="single"/>
    </w:rPr>
  </w:style>
  <w:style w:type="character" w:styleId="Hervorhebung">
    <w:name w:val="Emphasis"/>
    <w:basedOn w:val="Absatz-Standardschriftart"/>
    <w:uiPriority w:val="20"/>
    <w:qFormat/>
    <w:rsid w:val="00B27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706">
      <w:bodyDiv w:val="1"/>
      <w:marLeft w:val="0"/>
      <w:marRight w:val="0"/>
      <w:marTop w:val="0"/>
      <w:marBottom w:val="0"/>
      <w:divBdr>
        <w:top w:val="none" w:sz="0" w:space="0" w:color="auto"/>
        <w:left w:val="none" w:sz="0" w:space="0" w:color="auto"/>
        <w:bottom w:val="none" w:sz="0" w:space="0" w:color="auto"/>
        <w:right w:val="none" w:sz="0" w:space="0" w:color="auto"/>
      </w:divBdr>
    </w:div>
    <w:div w:id="259222915">
      <w:bodyDiv w:val="1"/>
      <w:marLeft w:val="0"/>
      <w:marRight w:val="0"/>
      <w:marTop w:val="0"/>
      <w:marBottom w:val="0"/>
      <w:divBdr>
        <w:top w:val="none" w:sz="0" w:space="0" w:color="auto"/>
        <w:left w:val="none" w:sz="0" w:space="0" w:color="auto"/>
        <w:bottom w:val="none" w:sz="0" w:space="0" w:color="auto"/>
        <w:right w:val="none" w:sz="0" w:space="0" w:color="auto"/>
      </w:divBdr>
    </w:div>
    <w:div w:id="308364009">
      <w:bodyDiv w:val="1"/>
      <w:marLeft w:val="0"/>
      <w:marRight w:val="0"/>
      <w:marTop w:val="0"/>
      <w:marBottom w:val="0"/>
      <w:divBdr>
        <w:top w:val="none" w:sz="0" w:space="0" w:color="auto"/>
        <w:left w:val="none" w:sz="0" w:space="0" w:color="auto"/>
        <w:bottom w:val="none" w:sz="0" w:space="0" w:color="auto"/>
        <w:right w:val="none" w:sz="0" w:space="0" w:color="auto"/>
      </w:divBdr>
    </w:div>
    <w:div w:id="420492034">
      <w:bodyDiv w:val="1"/>
      <w:marLeft w:val="0"/>
      <w:marRight w:val="0"/>
      <w:marTop w:val="0"/>
      <w:marBottom w:val="0"/>
      <w:divBdr>
        <w:top w:val="none" w:sz="0" w:space="0" w:color="auto"/>
        <w:left w:val="none" w:sz="0" w:space="0" w:color="auto"/>
        <w:bottom w:val="none" w:sz="0" w:space="0" w:color="auto"/>
        <w:right w:val="none" w:sz="0" w:space="0" w:color="auto"/>
      </w:divBdr>
    </w:div>
    <w:div w:id="443766277">
      <w:bodyDiv w:val="1"/>
      <w:marLeft w:val="0"/>
      <w:marRight w:val="0"/>
      <w:marTop w:val="0"/>
      <w:marBottom w:val="0"/>
      <w:divBdr>
        <w:top w:val="none" w:sz="0" w:space="0" w:color="auto"/>
        <w:left w:val="none" w:sz="0" w:space="0" w:color="auto"/>
        <w:bottom w:val="none" w:sz="0" w:space="0" w:color="auto"/>
        <w:right w:val="none" w:sz="0" w:space="0" w:color="auto"/>
      </w:divBdr>
    </w:div>
    <w:div w:id="446319200">
      <w:bodyDiv w:val="1"/>
      <w:marLeft w:val="0"/>
      <w:marRight w:val="0"/>
      <w:marTop w:val="0"/>
      <w:marBottom w:val="0"/>
      <w:divBdr>
        <w:top w:val="none" w:sz="0" w:space="0" w:color="auto"/>
        <w:left w:val="none" w:sz="0" w:space="0" w:color="auto"/>
        <w:bottom w:val="none" w:sz="0" w:space="0" w:color="auto"/>
        <w:right w:val="none" w:sz="0" w:space="0" w:color="auto"/>
      </w:divBdr>
    </w:div>
    <w:div w:id="555554031">
      <w:bodyDiv w:val="1"/>
      <w:marLeft w:val="0"/>
      <w:marRight w:val="0"/>
      <w:marTop w:val="0"/>
      <w:marBottom w:val="0"/>
      <w:divBdr>
        <w:top w:val="none" w:sz="0" w:space="0" w:color="auto"/>
        <w:left w:val="none" w:sz="0" w:space="0" w:color="auto"/>
        <w:bottom w:val="none" w:sz="0" w:space="0" w:color="auto"/>
        <w:right w:val="none" w:sz="0" w:space="0" w:color="auto"/>
      </w:divBdr>
    </w:div>
    <w:div w:id="636030169">
      <w:bodyDiv w:val="1"/>
      <w:marLeft w:val="0"/>
      <w:marRight w:val="0"/>
      <w:marTop w:val="0"/>
      <w:marBottom w:val="0"/>
      <w:divBdr>
        <w:top w:val="none" w:sz="0" w:space="0" w:color="auto"/>
        <w:left w:val="none" w:sz="0" w:space="0" w:color="auto"/>
        <w:bottom w:val="none" w:sz="0" w:space="0" w:color="auto"/>
        <w:right w:val="none" w:sz="0" w:space="0" w:color="auto"/>
      </w:divBdr>
    </w:div>
    <w:div w:id="668140711">
      <w:bodyDiv w:val="1"/>
      <w:marLeft w:val="0"/>
      <w:marRight w:val="0"/>
      <w:marTop w:val="0"/>
      <w:marBottom w:val="0"/>
      <w:divBdr>
        <w:top w:val="none" w:sz="0" w:space="0" w:color="auto"/>
        <w:left w:val="none" w:sz="0" w:space="0" w:color="auto"/>
        <w:bottom w:val="none" w:sz="0" w:space="0" w:color="auto"/>
        <w:right w:val="none" w:sz="0" w:space="0" w:color="auto"/>
      </w:divBdr>
    </w:div>
    <w:div w:id="676345553">
      <w:bodyDiv w:val="1"/>
      <w:marLeft w:val="0"/>
      <w:marRight w:val="0"/>
      <w:marTop w:val="0"/>
      <w:marBottom w:val="0"/>
      <w:divBdr>
        <w:top w:val="none" w:sz="0" w:space="0" w:color="auto"/>
        <w:left w:val="none" w:sz="0" w:space="0" w:color="auto"/>
        <w:bottom w:val="none" w:sz="0" w:space="0" w:color="auto"/>
        <w:right w:val="none" w:sz="0" w:space="0" w:color="auto"/>
      </w:divBdr>
    </w:div>
    <w:div w:id="696279156">
      <w:bodyDiv w:val="1"/>
      <w:marLeft w:val="0"/>
      <w:marRight w:val="0"/>
      <w:marTop w:val="0"/>
      <w:marBottom w:val="0"/>
      <w:divBdr>
        <w:top w:val="none" w:sz="0" w:space="0" w:color="auto"/>
        <w:left w:val="none" w:sz="0" w:space="0" w:color="auto"/>
        <w:bottom w:val="none" w:sz="0" w:space="0" w:color="auto"/>
        <w:right w:val="none" w:sz="0" w:space="0" w:color="auto"/>
      </w:divBdr>
    </w:div>
    <w:div w:id="749545063">
      <w:bodyDiv w:val="1"/>
      <w:marLeft w:val="0"/>
      <w:marRight w:val="0"/>
      <w:marTop w:val="0"/>
      <w:marBottom w:val="0"/>
      <w:divBdr>
        <w:top w:val="none" w:sz="0" w:space="0" w:color="auto"/>
        <w:left w:val="none" w:sz="0" w:space="0" w:color="auto"/>
        <w:bottom w:val="none" w:sz="0" w:space="0" w:color="auto"/>
        <w:right w:val="none" w:sz="0" w:space="0" w:color="auto"/>
      </w:divBdr>
    </w:div>
    <w:div w:id="856506584">
      <w:bodyDiv w:val="1"/>
      <w:marLeft w:val="0"/>
      <w:marRight w:val="0"/>
      <w:marTop w:val="0"/>
      <w:marBottom w:val="0"/>
      <w:divBdr>
        <w:top w:val="none" w:sz="0" w:space="0" w:color="auto"/>
        <w:left w:val="none" w:sz="0" w:space="0" w:color="auto"/>
        <w:bottom w:val="none" w:sz="0" w:space="0" w:color="auto"/>
        <w:right w:val="none" w:sz="0" w:space="0" w:color="auto"/>
      </w:divBdr>
    </w:div>
    <w:div w:id="930284909">
      <w:bodyDiv w:val="1"/>
      <w:marLeft w:val="0"/>
      <w:marRight w:val="0"/>
      <w:marTop w:val="0"/>
      <w:marBottom w:val="0"/>
      <w:divBdr>
        <w:top w:val="none" w:sz="0" w:space="0" w:color="auto"/>
        <w:left w:val="none" w:sz="0" w:space="0" w:color="auto"/>
        <w:bottom w:val="none" w:sz="0" w:space="0" w:color="auto"/>
        <w:right w:val="none" w:sz="0" w:space="0" w:color="auto"/>
      </w:divBdr>
    </w:div>
    <w:div w:id="1136335363">
      <w:bodyDiv w:val="1"/>
      <w:marLeft w:val="0"/>
      <w:marRight w:val="0"/>
      <w:marTop w:val="0"/>
      <w:marBottom w:val="0"/>
      <w:divBdr>
        <w:top w:val="none" w:sz="0" w:space="0" w:color="auto"/>
        <w:left w:val="none" w:sz="0" w:space="0" w:color="auto"/>
        <w:bottom w:val="none" w:sz="0" w:space="0" w:color="auto"/>
        <w:right w:val="none" w:sz="0" w:space="0" w:color="auto"/>
      </w:divBdr>
    </w:div>
    <w:div w:id="1235819966">
      <w:bodyDiv w:val="1"/>
      <w:marLeft w:val="0"/>
      <w:marRight w:val="0"/>
      <w:marTop w:val="0"/>
      <w:marBottom w:val="0"/>
      <w:divBdr>
        <w:top w:val="none" w:sz="0" w:space="0" w:color="auto"/>
        <w:left w:val="none" w:sz="0" w:space="0" w:color="auto"/>
        <w:bottom w:val="none" w:sz="0" w:space="0" w:color="auto"/>
        <w:right w:val="none" w:sz="0" w:space="0" w:color="auto"/>
      </w:divBdr>
    </w:div>
    <w:div w:id="1364210280">
      <w:bodyDiv w:val="1"/>
      <w:marLeft w:val="0"/>
      <w:marRight w:val="0"/>
      <w:marTop w:val="0"/>
      <w:marBottom w:val="0"/>
      <w:divBdr>
        <w:top w:val="none" w:sz="0" w:space="0" w:color="auto"/>
        <w:left w:val="none" w:sz="0" w:space="0" w:color="auto"/>
        <w:bottom w:val="none" w:sz="0" w:space="0" w:color="auto"/>
        <w:right w:val="none" w:sz="0" w:space="0" w:color="auto"/>
      </w:divBdr>
    </w:div>
    <w:div w:id="1366717850">
      <w:bodyDiv w:val="1"/>
      <w:marLeft w:val="0"/>
      <w:marRight w:val="0"/>
      <w:marTop w:val="0"/>
      <w:marBottom w:val="0"/>
      <w:divBdr>
        <w:top w:val="none" w:sz="0" w:space="0" w:color="auto"/>
        <w:left w:val="none" w:sz="0" w:space="0" w:color="auto"/>
        <w:bottom w:val="none" w:sz="0" w:space="0" w:color="auto"/>
        <w:right w:val="none" w:sz="0" w:space="0" w:color="auto"/>
      </w:divBdr>
    </w:div>
    <w:div w:id="1540506903">
      <w:bodyDiv w:val="1"/>
      <w:marLeft w:val="0"/>
      <w:marRight w:val="0"/>
      <w:marTop w:val="0"/>
      <w:marBottom w:val="0"/>
      <w:divBdr>
        <w:top w:val="none" w:sz="0" w:space="0" w:color="auto"/>
        <w:left w:val="none" w:sz="0" w:space="0" w:color="auto"/>
        <w:bottom w:val="none" w:sz="0" w:space="0" w:color="auto"/>
        <w:right w:val="none" w:sz="0" w:space="0" w:color="auto"/>
      </w:divBdr>
    </w:div>
    <w:div w:id="1654722355">
      <w:bodyDiv w:val="1"/>
      <w:marLeft w:val="0"/>
      <w:marRight w:val="0"/>
      <w:marTop w:val="0"/>
      <w:marBottom w:val="0"/>
      <w:divBdr>
        <w:top w:val="none" w:sz="0" w:space="0" w:color="auto"/>
        <w:left w:val="none" w:sz="0" w:space="0" w:color="auto"/>
        <w:bottom w:val="none" w:sz="0" w:space="0" w:color="auto"/>
        <w:right w:val="none" w:sz="0" w:space="0" w:color="auto"/>
      </w:divBdr>
    </w:div>
    <w:div w:id="1736975333">
      <w:bodyDiv w:val="1"/>
      <w:marLeft w:val="0"/>
      <w:marRight w:val="0"/>
      <w:marTop w:val="0"/>
      <w:marBottom w:val="0"/>
      <w:divBdr>
        <w:top w:val="none" w:sz="0" w:space="0" w:color="auto"/>
        <w:left w:val="none" w:sz="0" w:space="0" w:color="auto"/>
        <w:bottom w:val="none" w:sz="0" w:space="0" w:color="auto"/>
        <w:right w:val="none" w:sz="0" w:space="0" w:color="auto"/>
      </w:divBdr>
    </w:div>
    <w:div w:id="1817913456">
      <w:bodyDiv w:val="1"/>
      <w:marLeft w:val="0"/>
      <w:marRight w:val="0"/>
      <w:marTop w:val="0"/>
      <w:marBottom w:val="0"/>
      <w:divBdr>
        <w:top w:val="none" w:sz="0" w:space="0" w:color="auto"/>
        <w:left w:val="none" w:sz="0" w:space="0" w:color="auto"/>
        <w:bottom w:val="none" w:sz="0" w:space="0" w:color="auto"/>
        <w:right w:val="none" w:sz="0" w:space="0" w:color="auto"/>
      </w:divBdr>
    </w:div>
    <w:div w:id="1871992850">
      <w:bodyDiv w:val="1"/>
      <w:marLeft w:val="0"/>
      <w:marRight w:val="0"/>
      <w:marTop w:val="0"/>
      <w:marBottom w:val="0"/>
      <w:divBdr>
        <w:top w:val="none" w:sz="0" w:space="0" w:color="auto"/>
        <w:left w:val="none" w:sz="0" w:space="0" w:color="auto"/>
        <w:bottom w:val="none" w:sz="0" w:space="0" w:color="auto"/>
        <w:right w:val="none" w:sz="0" w:space="0" w:color="auto"/>
      </w:divBdr>
    </w:div>
    <w:div w:id="1936278404">
      <w:bodyDiv w:val="1"/>
      <w:marLeft w:val="0"/>
      <w:marRight w:val="0"/>
      <w:marTop w:val="0"/>
      <w:marBottom w:val="0"/>
      <w:divBdr>
        <w:top w:val="none" w:sz="0" w:space="0" w:color="auto"/>
        <w:left w:val="none" w:sz="0" w:space="0" w:color="auto"/>
        <w:bottom w:val="none" w:sz="0" w:space="0" w:color="auto"/>
        <w:right w:val="none" w:sz="0" w:space="0" w:color="auto"/>
      </w:divBdr>
    </w:div>
    <w:div w:id="2009019249">
      <w:bodyDiv w:val="1"/>
      <w:marLeft w:val="0"/>
      <w:marRight w:val="0"/>
      <w:marTop w:val="0"/>
      <w:marBottom w:val="0"/>
      <w:divBdr>
        <w:top w:val="none" w:sz="0" w:space="0" w:color="auto"/>
        <w:left w:val="none" w:sz="0" w:space="0" w:color="auto"/>
        <w:bottom w:val="none" w:sz="0" w:space="0" w:color="auto"/>
        <w:right w:val="none" w:sz="0" w:space="0" w:color="auto"/>
      </w:divBdr>
    </w:div>
    <w:div w:id="2028556997">
      <w:bodyDiv w:val="1"/>
      <w:marLeft w:val="0"/>
      <w:marRight w:val="0"/>
      <w:marTop w:val="0"/>
      <w:marBottom w:val="0"/>
      <w:divBdr>
        <w:top w:val="none" w:sz="0" w:space="0" w:color="auto"/>
        <w:left w:val="none" w:sz="0" w:space="0" w:color="auto"/>
        <w:bottom w:val="none" w:sz="0" w:space="0" w:color="auto"/>
        <w:right w:val="none" w:sz="0" w:space="0" w:color="auto"/>
      </w:divBdr>
    </w:div>
    <w:div w:id="2084252295">
      <w:bodyDiv w:val="1"/>
      <w:marLeft w:val="0"/>
      <w:marRight w:val="0"/>
      <w:marTop w:val="0"/>
      <w:marBottom w:val="0"/>
      <w:divBdr>
        <w:top w:val="none" w:sz="0" w:space="0" w:color="auto"/>
        <w:left w:val="none" w:sz="0" w:space="0" w:color="auto"/>
        <w:bottom w:val="none" w:sz="0" w:space="0" w:color="auto"/>
        <w:right w:val="none" w:sz="0" w:space="0" w:color="auto"/>
      </w:divBdr>
    </w:div>
    <w:div w:id="208918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onne\Gesch&#228;ftliche%20Daten\BCA\Vorlagen\A.45_0714_BCA%20AG_Vermittlungsvertrag.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fV2019">
      <a:majorFont>
        <a:latin typeface="Roboto Slab"/>
        <a:ea typeface=""/>
        <a:cs typeface=""/>
      </a:majorFont>
      <a:minorFont>
        <a:latin typeface="Roboto Sla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F9A3-C095-41E6-AB57-669AF20C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A.45_0714_BCA AG_Vermittlungsvertrag.dotx</Template>
  <TotalTime>0</TotalTime>
  <Pages>5</Pages>
  <Words>1622</Words>
  <Characters>10220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Medienproduktion</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Yvonne-Test Voigt</dc:creator>
  <cp:lastModifiedBy>Steve Ahlborn</cp:lastModifiedBy>
  <cp:revision>2</cp:revision>
  <cp:lastPrinted>2025-03-19T13:15:00Z</cp:lastPrinted>
  <dcterms:created xsi:type="dcterms:W3CDTF">2025-07-10T07:36:00Z</dcterms:created>
  <dcterms:modified xsi:type="dcterms:W3CDTF">2025-07-10T07:36:00Z</dcterms:modified>
</cp:coreProperties>
</file>