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0540" w14:textId="77777777" w:rsidR="00465C4A" w:rsidRDefault="00465C4A" w:rsidP="00465C4A">
      <w:pPr>
        <w:keepNext/>
        <w:spacing w:after="240" w:line="240" w:lineRule="auto"/>
        <w:ind w:right="567"/>
        <w:rPr>
          <w:rFonts w:ascii="Roboto Slab" w:eastAsia="Calibri" w:hAnsi="Roboto Slab" w:cs="Times New Roman"/>
          <w:b/>
          <w:bCs/>
          <w:noProof/>
          <w:sz w:val="20"/>
          <w:szCs w:val="20"/>
        </w:rPr>
      </w:pPr>
      <w:bookmarkStart w:id="0" w:name="_Hlk29997668"/>
    </w:p>
    <w:p w14:paraId="08928E80" w14:textId="1D40529B" w:rsidR="00111A0D" w:rsidRPr="005577F2" w:rsidRDefault="005577F2" w:rsidP="00111A0D">
      <w:pPr>
        <w:keepNext/>
        <w:spacing w:after="240" w:line="240" w:lineRule="auto"/>
        <w:ind w:right="567"/>
        <w:jc w:val="center"/>
        <w:rPr>
          <w:rFonts w:ascii="Arial" w:eastAsia="Calibri" w:hAnsi="Arial" w:cs="Arial"/>
          <w:b/>
          <w:bCs/>
          <w:noProof/>
          <w:color w:val="002060"/>
          <w:sz w:val="24"/>
          <w:u w:val="single"/>
        </w:rPr>
      </w:pPr>
      <w:r>
        <w:rPr>
          <w:rFonts w:ascii="Arial" w:eastAsia="Calibri" w:hAnsi="Arial" w:cs="Arial"/>
          <w:b/>
          <w:bCs/>
          <w:noProof/>
          <w:color w:val="002060"/>
          <w:sz w:val="24"/>
          <w:u w:val="single"/>
        </w:rPr>
        <w:t xml:space="preserve">CARAT </w:t>
      </w:r>
      <w:r w:rsidR="00111A0D" w:rsidRPr="005577F2">
        <w:rPr>
          <w:rFonts w:ascii="Arial" w:eastAsia="Calibri" w:hAnsi="Arial" w:cs="Arial"/>
          <w:b/>
          <w:bCs/>
          <w:noProof/>
          <w:color w:val="002060"/>
          <w:sz w:val="24"/>
          <w:u w:val="single"/>
        </w:rPr>
        <w:t>Kopier</w:t>
      </w:r>
      <w:r>
        <w:rPr>
          <w:rFonts w:ascii="Arial" w:eastAsia="Calibri" w:hAnsi="Arial" w:cs="Arial"/>
          <w:b/>
          <w:bCs/>
          <w:noProof/>
          <w:color w:val="002060"/>
          <w:sz w:val="24"/>
          <w:u w:val="single"/>
        </w:rPr>
        <w:t>v</w:t>
      </w:r>
      <w:r w:rsidR="00111A0D" w:rsidRPr="005577F2">
        <w:rPr>
          <w:rFonts w:ascii="Arial" w:eastAsia="Calibri" w:hAnsi="Arial" w:cs="Arial"/>
          <w:b/>
          <w:bCs/>
          <w:noProof/>
          <w:color w:val="002060"/>
          <w:sz w:val="24"/>
          <w:u w:val="single"/>
        </w:rPr>
        <w:t>orlage vom Endkunden-Quartalsbericht Q1/25</w:t>
      </w:r>
    </w:p>
    <w:p w14:paraId="52CB2030" w14:textId="77777777" w:rsidR="00111A0D" w:rsidRPr="00111A0D" w:rsidRDefault="00111A0D" w:rsidP="00111A0D">
      <w:pPr>
        <w:keepNext/>
        <w:spacing w:after="240" w:line="240" w:lineRule="auto"/>
        <w:ind w:right="567"/>
        <w:jc w:val="center"/>
        <w:rPr>
          <w:rFonts w:ascii="Arial" w:eastAsia="Calibri" w:hAnsi="Arial" w:cs="Arial"/>
          <w:b/>
          <w:bCs/>
          <w:noProof/>
          <w:sz w:val="24"/>
        </w:rPr>
      </w:pPr>
    </w:p>
    <w:p w14:paraId="281446C7" w14:textId="167D4D73" w:rsidR="000022F6" w:rsidRPr="000022F6" w:rsidRDefault="007232BA" w:rsidP="00465C4A">
      <w:pPr>
        <w:keepNext/>
        <w:spacing w:after="240" w:line="240" w:lineRule="auto"/>
        <w:ind w:right="567" w:firstLine="426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 xml:space="preserve">Politische Entwicklungen </w:t>
      </w:r>
      <w:r w:rsidR="00F1387A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>nähren die</w:t>
      </w:r>
      <w:r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 xml:space="preserve"> </w:t>
      </w:r>
      <w:r w:rsidR="00FF0B9F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>Unsicherheit an den Kapitalmärkte</w:t>
      </w:r>
      <w:r w:rsidR="0021052F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>n</w:t>
      </w:r>
    </w:p>
    <w:p w14:paraId="02D5AF73" w14:textId="638914AC" w:rsidR="00E046E7" w:rsidRDefault="00502B21" w:rsidP="00502B21">
      <w:pPr>
        <w:spacing w:line="240" w:lineRule="auto"/>
        <w:ind w:left="426" w:right="567"/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ine alte Börsenweisheit </w:t>
      </w:r>
      <w:r w:rsidR="0059728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lautet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: „Politische Börsen haben kurze Beine.“ </w:t>
      </w:r>
      <w:r w:rsid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Das bedeutet,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Ereignisse wie Wahlen, </w:t>
      </w:r>
      <w:r w:rsidR="0059728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p</w:t>
      </w:r>
      <w:r w:rsidR="0059728D"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olitisch</w:t>
      </w:r>
      <w:r w:rsidR="0059728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motivierte</w:t>
      </w:r>
      <w:r w:rsidR="0059728D"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Anschläge oder Konflikte wirken sich oft </w:t>
      </w:r>
      <w:r w:rsidR="0059728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nur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kurzfristig auf die Aktienmärkte aus. </w:t>
      </w:r>
      <w:r w:rsid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Einen langfristigen Einfluss misst man ihnen nicht </w:t>
      </w:r>
      <w:r w:rsidR="0059728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bei</w:t>
      </w:r>
      <w:r w:rsid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Historisch betrachtet erholt sich der Markt meist nach wenigen Wochen, da </w:t>
      </w:r>
      <w:r w:rsidR="00645FA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eine Vielzahl von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Unternehmen sich an veränderte Bedingungen </w:t>
      </w:r>
      <w:r w:rsidR="002A26A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rasch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anpass</w:t>
      </w:r>
      <w:r w:rsidR="00645FA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t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und langfristige wirtschaftliche Faktoren stärker ins Gewicht fallen.</w:t>
      </w:r>
      <w:r w:rsidR="003A091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Wichtig</w:t>
      </w:r>
      <w:r w:rsid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sei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2A26A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für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Anleger daher, sich vom „</w:t>
      </w:r>
      <w:r w:rsidR="00645FA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Lärm der Politik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“ </w:t>
      </w:r>
      <w:r w:rsidR="003A091C"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nicht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ablenken zu lassen</w:t>
      </w:r>
      <w:r w:rsid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 Es sei</w:t>
      </w:r>
      <w:r w:rsidR="002A26A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vorteilhafter, </w:t>
      </w:r>
      <w:r w:rsidRPr="00502B2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auf die wirtschaftlichen Fundamentaldaten zu achten.</w:t>
      </w:r>
      <w:r w:rsidR="00E046E7" w:rsidRPr="00E046E7">
        <w:t xml:space="preserve"> </w:t>
      </w:r>
    </w:p>
    <w:p w14:paraId="758ED095" w14:textId="77777777" w:rsidR="00E046E7" w:rsidRDefault="00E046E7" w:rsidP="00502B21">
      <w:pPr>
        <w:spacing w:line="240" w:lineRule="auto"/>
        <w:ind w:left="426" w:right="567"/>
      </w:pPr>
    </w:p>
    <w:p w14:paraId="783C6ABB" w14:textId="29CF560C" w:rsidR="005F44A1" w:rsidRDefault="00B53D5E" w:rsidP="005E4938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Gilt die</w:t>
      </w:r>
      <w:r w:rsidR="00CB727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se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Börsenweisheit au</w:t>
      </w:r>
      <w:r w:rsidR="00645FA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ch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für</w:t>
      </w:r>
      <w:r w:rsidR="00CB727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das Jahr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2025</w:t>
      </w:r>
      <w:r w:rsidR="003A091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– und</w:t>
      </w:r>
      <w:r w:rsidR="00685BE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darüber</w:t>
      </w:r>
      <w:r w:rsidR="003A091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685BE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hinaus? </w:t>
      </w:r>
      <w:r w:rsidR="00B042B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Was </w:t>
      </w:r>
      <w:r w:rsidR="003A091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lässt sich </w:t>
      </w:r>
      <w:r w:rsidR="00B042B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aus dem Verlauf des ersten Quartals dieses Jahres ableiten? </w:t>
      </w:r>
    </w:p>
    <w:p w14:paraId="274B10C2" w14:textId="77777777" w:rsidR="003A091C" w:rsidRDefault="003A091C" w:rsidP="005E4938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1D52DB9" w14:textId="40414BB9" w:rsidR="00AF0DC2" w:rsidRDefault="00B042B4" w:rsidP="00CB7273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jüngsten Wahlen in den USA und Europa haben Veränderungen bewirkt. </w:t>
      </w:r>
      <w:r w:rsidR="003A091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US-Präsident 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Trump s</w:t>
      </w:r>
      <w:r w:rsidR="00B53D5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etzt sein Programm bereits tatkräftig um. Das Drehbuch dazu stammt aus dem „Project 2025“ der </w:t>
      </w:r>
      <w:r w:rsidR="005E4938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rechtskonservative</w:t>
      </w:r>
      <w:r w:rsidR="00B53D5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</w:t>
      </w:r>
      <w:r w:rsidR="005E4938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5E4938" w:rsidRPr="00F22F9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Denkfabrik Heritage Foundation</w:t>
      </w:r>
      <w:r w:rsidR="000764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8552C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E046E7" w:rsidRP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Im </w:t>
      </w:r>
      <w:r w:rsidR="00050B8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Mittelpunkt</w:t>
      </w:r>
      <w:r w:rsidR="00050B8B" w:rsidRP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E046E7" w:rsidRP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stehen da</w:t>
      </w:r>
      <w:r w:rsidR="00E046E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bei Bestrebungen, jegliche politische Entscheidung </w:t>
      </w:r>
      <w:r w:rsidR="005E4938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auf die wirtschaftliche Vorteilhaftigkeit oder die sicherheitspolitische Relevanz </w:t>
      </w:r>
      <w:r w:rsidR="000764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der USA </w:t>
      </w:r>
      <w:r w:rsidR="005E4938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zu </w:t>
      </w:r>
      <w:r w:rsidR="00BE0F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fokussieren</w:t>
      </w:r>
      <w:r w:rsidR="005E4938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8552C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Trump 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verhält sich </w:t>
      </w:r>
      <w:r w:rsidR="008552C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vor diesem Hintergrund wie ein 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weltweit agierender </w:t>
      </w:r>
      <w:r w:rsidR="008552C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Geschäftsmann, der seine Verhandlungspositionen </w:t>
      </w:r>
      <w:r w:rsidR="00CB727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entsprechend </w:t>
      </w:r>
      <w:r w:rsidR="008552C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flexibel handhabt. </w:t>
      </w:r>
      <w:r w:rsidR="006109E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Er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nutzt dazu, das zeigen die Ereignisse im ersten Quartal, </w:t>
      </w:r>
      <w:r w:rsidR="006109E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im 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W</w:t>
      </w:r>
      <w:r w:rsidR="006109E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esentlichen zwei Instrumente: die Militär- und die Handelspolitik.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massive, </w:t>
      </w:r>
      <w:r w:rsidR="006109E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weltumspannende </w:t>
      </w:r>
      <w:r w:rsidR="008552C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US-Militär</w:t>
      </w:r>
      <w:r w:rsidR="006109E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präsenz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eröffnet </w:t>
      </w:r>
      <w:r w:rsidR="00F1387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ihm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eine Vielzahl von Handlungsalternativen mit unterschiedlichsten </w:t>
      </w:r>
      <w:r w:rsidR="00AF0DC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Eskalationsstufen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CB727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Bei der Handelspolitik verfolgt er 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mit seinem als „Tit for Tat“ bezeichneten Stil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einen k</w:t>
      </w:r>
      <w:r w:rsidR="002105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onfrontativen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Ansatz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der</w:t>
      </w:r>
      <w:r w:rsidR="00AF0DC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dem deutschen </w:t>
      </w:r>
      <w:r w:rsidR="00C93ED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„Auge um Auge, Zahn um Zahn</w:t>
      </w:r>
      <w:r w:rsidR="00AF0DC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“</w:t>
      </w:r>
      <w:r w:rsidR="00162980" w:rsidRP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vergleichbar ist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 D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ie bisherige Vorgehensweise birgt das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Poten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ial eines schnell eskalierenden, veritablen Handelskriegs.</w:t>
      </w:r>
      <w:r w:rsidR="00367D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Ob 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diese Geme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gelage 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 </w:t>
      </w:r>
      <w:r w:rsidR="00367D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 geopolitische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</w:t>
      </w:r>
      <w:r w:rsidR="00367D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Risiko 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mündet</w:t>
      </w:r>
      <w:r w:rsidR="00367D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wird der weitere Jahresverlauf zeigen.</w:t>
      </w:r>
    </w:p>
    <w:p w14:paraId="4FE2247F" w14:textId="77777777" w:rsidR="00AF0DC2" w:rsidRDefault="00AF0DC2" w:rsidP="008552C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04A9572" w14:textId="04E964A3" w:rsidR="008C28A1" w:rsidRDefault="00DA57A1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ie Kapitalmärkte </w:t>
      </w:r>
      <w:r w:rsidR="004C4EC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sind 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eher </w:t>
      </w:r>
      <w:r w:rsidR="004C4EC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vorsichtig, die 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aktuelle politische Situation </w:t>
      </w:r>
      <w:r w:rsidR="004C4EC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als</w:t>
      </w:r>
      <w:r w:rsidR="00F108C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„den üblichen Lärm“ ein</w:t>
      </w:r>
      <w:r w:rsidR="004C4EC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zuschätzen.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An den globalen Aktienmärkten stieg die Volatilität </w:t>
      </w:r>
      <w:r w:rsidR="00BE0F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im Gleichklang </w:t>
      </w:r>
      <w:r w:rsidR="00367D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mit </w:t>
      </w:r>
      <w:r w:rsidR="008C28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Trumps Schachzüge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</w:t>
      </w:r>
      <w:r w:rsidR="00F1387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und d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ie Erwartung einer Stagflation der US-Wirtschaft nahm zu. </w:t>
      </w:r>
      <w:r w:rsidR="00BE0F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Sogar d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as </w:t>
      </w:r>
      <w:r w:rsidR="00644C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Szenario </w:t>
      </w:r>
      <w:r w:rsidR="008C28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einer Rezession </w:t>
      </w:r>
      <w:r w:rsidR="002C19F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 den USA </w:t>
      </w:r>
      <w:r w:rsidR="00BE0F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gewann im </w:t>
      </w:r>
      <w:r w:rsidR="002105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Verlauf des </w:t>
      </w:r>
      <w:r w:rsidR="00BE0F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ersten Quartal</w:t>
      </w:r>
      <w:r w:rsidR="002105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</w:t>
      </w:r>
      <w:r w:rsidR="00BE0F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an Wahrscheinlichkeit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und wird </w:t>
      </w:r>
      <w:r w:rsidR="0016298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 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Stellungnahmen aus Regierungskreisen nicht mehr ausgeschlossen.</w:t>
      </w:r>
    </w:p>
    <w:p w14:paraId="2240294D" w14:textId="77777777" w:rsidR="008C3921" w:rsidRDefault="008C3921" w:rsidP="008C4BB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1E796ED1" w14:textId="3FC823DD" w:rsidR="00367D34" w:rsidRDefault="008C4BB1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US-Aktien legten daraufhin den Rückwärtsgang ein. 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Davon profitierten viele andere Aktienmärkte, so auch die in Europa und China. </w:t>
      </w:r>
      <w:r w:rsidR="00367D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Es </w:t>
      </w:r>
      <w:r w:rsidR="00B4306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wird sich zeigen, ob </w:t>
      </w:r>
      <w:r w:rsidR="00367D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 diesem Zusammenhang </w:t>
      </w:r>
      <w:r w:rsidR="00B4306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eine weitere Börsenweisheit Gültigkeit behält: </w:t>
      </w:r>
      <w:r w:rsidR="00B43064" w:rsidRPr="00B4306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„Wenn Amerika hustet, bekommt Europa die Grippe.“</w:t>
      </w:r>
      <w:r w:rsidR="00B4306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</w:p>
    <w:p w14:paraId="521519B4" w14:textId="77777777" w:rsidR="00E26D07" w:rsidRDefault="00E26D07" w:rsidP="00865565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</w:p>
    <w:p w14:paraId="506A25FC" w14:textId="6A7CD570" w:rsidR="00865565" w:rsidRDefault="00865565" w:rsidP="00865565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  <w:r w:rsidRPr="00941826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>Wichtige Wirtschaftsdaten</w:t>
      </w:r>
    </w:p>
    <w:p w14:paraId="13400EFD" w14:textId="36289DB2" w:rsidR="00865565" w:rsidRDefault="00865565" w:rsidP="00865565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</w:p>
    <w:p w14:paraId="0083F89A" w14:textId="77777777" w:rsidR="00465C4A" w:rsidRDefault="00865565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Zum Bruttoinlandsprodukt der </w:t>
      </w:r>
      <w:r w:rsidRPr="006F6F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US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</w:t>
      </w:r>
      <w:r w:rsidRPr="006F6F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tragen die privaten Haushalte mit etwa </w:t>
      </w:r>
      <w:r w:rsidRPr="006F6F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70</w:t>
      </w:r>
      <w:r w:rsidR="00A9731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 </w:t>
      </w:r>
      <w:r w:rsidRPr="006F6F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%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bei. Der Blick auf die Einzelhandelsumsätze und die Konsumentenstimmung </w:t>
      </w:r>
      <w:r w:rsidR="001E0C0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offenbart 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somit</w:t>
      </w:r>
      <w:r w:rsidR="001E0C0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1E0C0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wie es um das</w:t>
      </w:r>
      <w:r w:rsidR="002105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Wirtschaftswachstum und </w:t>
      </w:r>
      <w:r w:rsidR="001E0C0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</w:t>
      </w:r>
      <w:r w:rsidR="002105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Konjunkturentwicklung</w:t>
      </w:r>
      <w:r w:rsidR="001E0C0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steht:</w:t>
      </w:r>
      <w:r w:rsidR="004C4EC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Bis Ende 2024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hatte</w:t>
      </w:r>
      <w:r w:rsidR="00C742C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 die Euphorie über den Wahlsieg Trumps und die Erwartung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avisierte</w:t>
      </w:r>
      <w:r w:rsidR="00C742C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r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Steuersenkungen</w:t>
      </w:r>
      <w:r w:rsidR="00C742C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die Umsätze angetrieben. </w:t>
      </w:r>
    </w:p>
    <w:p w14:paraId="5B0E37EB" w14:textId="77777777" w:rsidR="005577F2" w:rsidRDefault="005577F2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B4F0DD9" w14:textId="4BD23A2A" w:rsidR="005F44A1" w:rsidRDefault="00A9731B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Eine Verminderung steuerlicher Abgaben</w:t>
      </w:r>
      <w:r w:rsidR="00C742C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z.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 </w:t>
      </w:r>
      <w:r w:rsidR="00C742C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B. in Form der </w:t>
      </w:r>
      <w:r w:rsidR="00C742CE"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DOGE-Schecks, mit denen die Einsparungen von Kosten für Behörden zeitnah an die Bürger weitergegeben werden</w:t>
      </w:r>
      <w:r w:rsidR="002105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sollten</w:t>
      </w:r>
      <w:r w:rsidR="00C742CE"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,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sind bislang jedoch ausgeblieben</w:t>
      </w:r>
      <w:r w:rsidR="00C742C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Stattdessen verfestigt sich die Erwartung, die Handelspolitik könne erneut die Inflation befeuern.</w:t>
      </w:r>
    </w:p>
    <w:p w14:paraId="47205494" w14:textId="77777777" w:rsidR="005F44A1" w:rsidRDefault="005F44A1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D3CD298" w14:textId="1B81714E" w:rsidR="00697A54" w:rsidRDefault="00697A54" w:rsidP="00A9731B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Bei einer Vielzahl von Behörden werden Massenentlassungen mit der </w:t>
      </w:r>
      <w:r w:rsidR="005F44A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Holzhammermethode durchgedrückt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 Viele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Bürger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ha</w:t>
      </w:r>
      <w:r w:rsidR="00A9013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tt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en 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nicht damit gerechnet, direkt oder indirekt von den Folgen betroffen zu sein. </w:t>
      </w:r>
      <w:r w:rsidR="00A9013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Nun werden </w:t>
      </w:r>
      <w:r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Befürchtungen laut, der Wechsel von freigesetzten </w:t>
      </w:r>
      <w:r w:rsidR="00A9731B"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Behörden</w:t>
      </w:r>
      <w:r w:rsidR="00A9731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m</w:t>
      </w:r>
      <w:r w:rsidR="00A9731B"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itarbeitern </w:t>
      </w:r>
      <w:r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auf freie Stellen bei Unternehmen könne sich zähflüssiger gestalten als erwartet.</w:t>
      </w:r>
      <w:r w:rsidR="00A9731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</w:p>
    <w:p w14:paraId="70ABEAC2" w14:textId="77777777" w:rsidR="00767179" w:rsidRDefault="00767179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5B6E105E" w14:textId="4FE48112" w:rsidR="00697A54" w:rsidRDefault="00697A54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Letzte Daten zeigen weiter rückläufige Wachstumsraten der US-Einzelhandelsumsätze. Auch die Konsumentenstimmung, gemessen am Index des Verbrauchervertrauens der Universtät von Michigan</w:t>
      </w:r>
      <w:r w:rsidR="00A9731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trübte sich deutlich ein. </w:t>
      </w:r>
    </w:p>
    <w:p w14:paraId="591202AF" w14:textId="713627DA" w:rsidR="005F44A1" w:rsidRDefault="005F44A1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4B4BFED" w14:textId="006F1FBF" w:rsidR="00697A54" w:rsidRPr="00476911" w:rsidRDefault="00697A54" w:rsidP="00EE0B0C">
      <w:pPr>
        <w:tabs>
          <w:tab w:val="left" w:pos="5320"/>
        </w:tabs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 w:rsidRP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US-Einzelhandelsumsätze</w:t>
      </w:r>
      <w:r w:rsidRP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ab/>
        <w:t>US-Verbrauchervertrauen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Michigan Index</w:t>
      </w:r>
    </w:p>
    <w:p w14:paraId="4533BD91" w14:textId="0C2DB3AE" w:rsidR="00697A54" w:rsidRDefault="00162980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067C9BC8" wp14:editId="49E4F57C">
            <wp:simplePos x="0" y="0"/>
            <wp:positionH relativeFrom="column">
              <wp:posOffset>274662</wp:posOffset>
            </wp:positionH>
            <wp:positionV relativeFrom="paragraph">
              <wp:posOffset>171450</wp:posOffset>
            </wp:positionV>
            <wp:extent cx="2488565" cy="1617345"/>
            <wp:effectExtent l="0" t="0" r="6985" b="1905"/>
            <wp:wrapSquare wrapText="bothSides"/>
            <wp:docPr id="188298148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2EAD" w14:textId="587B45B2" w:rsidR="00697A54" w:rsidRDefault="009355A5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 wp14:anchorId="2921B6B5" wp14:editId="41A20695">
            <wp:simplePos x="0" y="0"/>
            <wp:positionH relativeFrom="column">
              <wp:posOffset>3389795</wp:posOffset>
            </wp:positionH>
            <wp:positionV relativeFrom="paragraph">
              <wp:posOffset>4334</wp:posOffset>
            </wp:positionV>
            <wp:extent cx="2451100" cy="1590675"/>
            <wp:effectExtent l="0" t="0" r="6350" b="9525"/>
            <wp:wrapSquare wrapText="bothSides"/>
            <wp:docPr id="49207850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979C3C" w14:textId="2A81B1E1" w:rsidR="00697A54" w:rsidRDefault="00697A54" w:rsidP="00697A54">
      <w:pPr>
        <w:spacing w:line="240" w:lineRule="auto"/>
        <w:ind w:left="4680" w:right="567" w:firstLine="283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F2BCA0B" w14:textId="2ADDFF37" w:rsidR="00815462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989A385" w14:textId="77777777" w:rsidR="00815462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8954FEA" w14:textId="49DD09C8" w:rsidR="00815462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0EDEA5E" w14:textId="77777777" w:rsidR="00815462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A1587CF" w14:textId="6C65FC51" w:rsidR="00815462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1E495C3" w14:textId="77777777" w:rsidR="00815462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0B2561A" w14:textId="77777777" w:rsidR="00815462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9056DFC" w14:textId="77777777" w:rsidR="00815462" w:rsidRPr="009564CE" w:rsidRDefault="00815462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</w:pPr>
    </w:p>
    <w:p w14:paraId="5051672A" w14:textId="1C94327B" w:rsidR="00697A54" w:rsidRPr="009564CE" w:rsidRDefault="00697A54" w:rsidP="00697A5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</w:pPr>
      <w:r w:rsidRPr="009564CE"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  <w:t xml:space="preserve">Quelle: </w:t>
      </w:r>
      <w:hyperlink r:id="rId10" w:history="1">
        <w:r w:rsidRPr="009564CE">
          <w:rPr>
            <w:rFonts w:ascii="Roboto Slab" w:hAnsi="Roboto Slab"/>
            <w:color w:val="215868" w:themeColor="accent5" w:themeShade="80"/>
            <w:sz w:val="16"/>
            <w:szCs w:val="16"/>
          </w:rPr>
          <w:t>https://tradingeconomics.com</w:t>
        </w:r>
      </w:hyperlink>
    </w:p>
    <w:p w14:paraId="024778F0" w14:textId="3C796887" w:rsidR="005F44A1" w:rsidRDefault="005F44A1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869A097" w14:textId="77777777" w:rsidR="005F44A1" w:rsidRDefault="005F44A1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5FEB9F2A" w14:textId="0C38712D" w:rsidR="00697A54" w:rsidRDefault="005B15E6" w:rsidP="005B15E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Umfragen </w:t>
      </w:r>
      <w:r w:rsidR="00697A5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bei Unternehmen </w:t>
      </w:r>
      <w:r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zeigen, dass si</w:t>
      </w:r>
      <w:r w:rsidR="00697A5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 sich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auf </w:t>
      </w:r>
      <w:r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viel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schichtige </w:t>
      </w:r>
      <w:r w:rsidRPr="0086556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Belastungen durch die Zollpolitik einstellen. </w:t>
      </w:r>
      <w:r w:rsidR="00697A5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Das betrifft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unter anderem</w:t>
      </w:r>
      <w:r w:rsidR="00697A5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die Neuordnung von Zulieferketten und die Möglichkeit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 w:rsidR="00697A5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erhöhte Einkaufspreise in einem negativen Konjunkturumfeld auf die Verbraucher überwälzen zu können. </w:t>
      </w:r>
    </w:p>
    <w:p w14:paraId="012AEE01" w14:textId="77777777" w:rsidR="00D72DDD" w:rsidRDefault="00D72DDD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F8FA2ED" w14:textId="638EA7A8" w:rsidR="00A63856" w:rsidRDefault="00A63856" w:rsidP="00A638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 w:rsidRPr="00A6385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 Deutschland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hält die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trübe Wirtschaftsentwicklung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weiterhin an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Die konjunkturelle Lage ist schwierig. Mit dem Regierungswechsel </w:t>
      </w:r>
      <w:r w:rsidR="00A35B4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könnte es zu positiven Wachstumsimpulsen kommen. Ob und wie die zu erwartenden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US-</w:t>
      </w:r>
      <w:r w:rsidR="00A35B4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Zölle unsere Wirtschaftsentwicklung beeinflussen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 w:rsidR="00A35B4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bleibt abzuwarten.</w:t>
      </w:r>
    </w:p>
    <w:p w14:paraId="5860B997" w14:textId="77777777" w:rsidR="00767179" w:rsidRDefault="00767179" w:rsidP="00A638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66122853" w14:textId="12F24F0F" w:rsidR="005734FC" w:rsidRDefault="00335C22" w:rsidP="00335C22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</w:t>
      </w:r>
      <w:r w:rsidR="005734F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aktuellen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politischen Weichenstellungen beim Finanzpakt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schätzt die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E83D3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deutsche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Wirtschaft </w:t>
      </w:r>
      <w:r w:rsidR="00E83D3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indes offenbar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sehr positiv ein. Der </w:t>
      </w:r>
      <w:r w:rsidR="00443E7B" w:rsidRPr="00335C2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ZEW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-</w:t>
      </w:r>
      <w:r w:rsidRPr="00335C2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Index der Konjunkt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urerwartungen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verzeichnet mit einem Plus von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25,6 Punkte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auf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jetzt 51</w:t>
      </w:r>
      <w:r w:rsidRPr="00335C2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,6 Punkte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einen steilen Anstieg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</w:p>
    <w:p w14:paraId="1CD01799" w14:textId="452D428B" w:rsidR="005734FC" w:rsidRDefault="002223B5" w:rsidP="00335C22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lastRenderedPageBreak/>
        <w:drawing>
          <wp:anchor distT="0" distB="0" distL="114300" distR="114300" simplePos="0" relativeHeight="251682304" behindDoc="0" locked="0" layoutInCell="1" allowOverlap="1" wp14:anchorId="0A97660D" wp14:editId="708364DB">
            <wp:simplePos x="0" y="0"/>
            <wp:positionH relativeFrom="column">
              <wp:posOffset>1000760</wp:posOffset>
            </wp:positionH>
            <wp:positionV relativeFrom="paragraph">
              <wp:posOffset>285115</wp:posOffset>
            </wp:positionV>
            <wp:extent cx="3843655" cy="2310130"/>
            <wp:effectExtent l="0" t="0" r="4445" b="0"/>
            <wp:wrapTopAndBottom/>
            <wp:docPr id="162032003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231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8C6D6" w14:textId="737D31D4" w:rsidR="00A72904" w:rsidRPr="009564CE" w:rsidRDefault="00A72904" w:rsidP="00EE0B0C">
      <w:pPr>
        <w:spacing w:line="240" w:lineRule="auto"/>
        <w:ind w:left="1582" w:right="567"/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</w:pPr>
      <w:r w:rsidRPr="009564CE"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  <w:t xml:space="preserve">Quelle: </w:t>
      </w:r>
      <w:hyperlink r:id="rId12" w:history="1">
        <w:r w:rsidRPr="009564CE">
          <w:rPr>
            <w:rFonts w:ascii="Roboto Slab" w:hAnsi="Roboto Slab"/>
            <w:color w:val="215868" w:themeColor="accent5" w:themeShade="80"/>
            <w:sz w:val="16"/>
            <w:szCs w:val="16"/>
          </w:rPr>
          <w:t>https://tradingeconomics.com</w:t>
        </w:r>
      </w:hyperlink>
    </w:p>
    <w:p w14:paraId="3B7A6939" w14:textId="7C0ECAE5" w:rsidR="00335C22" w:rsidRDefault="00A72904" w:rsidP="00335C22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</w:p>
    <w:p w14:paraId="23C85570" w14:textId="221F04DC" w:rsidR="005074CB" w:rsidRPr="00335C22" w:rsidRDefault="005074CB" w:rsidP="00443E7B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56BA234A" w14:textId="425AE1C9" w:rsidR="00C47E04" w:rsidRDefault="161AC294" w:rsidP="00E8184B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Der ifo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-</w:t>
      </w: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Geschäftsklima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</w:t>
      </w: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ndex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legte</w:t>
      </w:r>
      <w:r w:rsidR="00767179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ebenfalls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zu</w:t>
      </w:r>
      <w:r w:rsidR="12DBAD96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Er</w:t>
      </w:r>
      <w:r w:rsidR="00767179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12DBAD96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liegt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aktuell</w:t>
      </w:r>
      <w:r w:rsidR="00767179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12DBAD96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bei 86,7 Punkten</w:t>
      </w:r>
      <w:r w:rsidR="00E83D3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– </w:t>
      </w:r>
      <w:r w:rsidR="12DBAD96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eine</w:t>
      </w:r>
      <w:r w:rsidR="00E8184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12DBAD96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leichte Verbesserung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gegenüber</w:t>
      </w:r>
      <w:r w:rsidR="00767179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12DBAD96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Februar (85,3). Dazu ifo</w:t>
      </w:r>
      <w:r w:rsidR="0FAA4CAA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-Präsident Clemens Fuest: 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„</w:t>
      </w:r>
      <w:r w:rsidR="0FAA4CAA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Die deutsche Wirtschaft hofft auf Besserung.</w:t>
      </w:r>
      <w:r w:rsidR="0076717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“</w:t>
      </w:r>
      <w:r w:rsidR="11479542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</w:p>
    <w:p w14:paraId="01462ED9" w14:textId="77777777" w:rsidR="00FD06E0" w:rsidRPr="008B2966" w:rsidRDefault="00FD06E0" w:rsidP="00E8184B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E3B171F" w14:textId="54563623" w:rsidR="05F0CEDC" w:rsidRPr="008B2966" w:rsidRDefault="7F0E9CEB" w:rsidP="008B296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Erwartungen der Konsumenten hingegen sind </w:t>
      </w:r>
      <w:r w:rsidR="00FD06E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nahezu unverändert –</w:t>
      </w: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FD06E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o</w:t>
      </w: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der besser: </w:t>
      </w:r>
      <w:r w:rsidR="00FD06E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</w:t>
      </w:r>
      <w:r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ie Zurückhaltung.</w:t>
      </w:r>
      <w:r w:rsidR="22DA8C7D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Bei der letzten Befragung stieg der Index nur minimal um 0,1 Zähler auf </w:t>
      </w:r>
      <w:r w:rsidR="00FD06E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−</w:t>
      </w:r>
      <w:r w:rsidR="22DA8C7D" w:rsidRPr="008B296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21,3. </w:t>
      </w:r>
    </w:p>
    <w:p w14:paraId="2293C914" w14:textId="30E736DB" w:rsidR="00C47E04" w:rsidRPr="008B2966" w:rsidRDefault="00C47E04" w:rsidP="007B2033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12E8BF4C" w14:textId="7EA1AC1E" w:rsidR="00FC7A56" w:rsidRPr="00476911" w:rsidRDefault="00A63856" w:rsidP="008B2966">
      <w:pPr>
        <w:spacing w:line="240" w:lineRule="auto"/>
        <w:ind w:right="567" w:firstLine="426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  <w:r w:rsidRPr="00476911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 xml:space="preserve">Anhaltende </w:t>
      </w:r>
      <w:r w:rsidR="00407DC3" w:rsidRPr="00476911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 xml:space="preserve">Zinssenkungen der </w:t>
      </w:r>
      <w:r w:rsidR="00FC7A56" w:rsidRPr="00476911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 xml:space="preserve">Zentralbanken </w:t>
      </w:r>
    </w:p>
    <w:p w14:paraId="66FEF39E" w14:textId="77777777" w:rsidR="00A63856" w:rsidRDefault="00A63856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6D2379BD" w14:textId="4075EFC4" w:rsidR="00E65861" w:rsidRDefault="00DB63BB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Inflationsrate 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im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Euroraum betrug 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laut Schnellschätzung von Eurostat, </w:t>
      </w:r>
      <w:r w:rsidR="001E079E" w:rsidRP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dem statistischen Amt der Europäischen Union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, im Februar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2,4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 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%</w:t>
      </w:r>
      <w:r w:rsidR="008644E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– nach 2,5 % im Januar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EZB nahm </w:t>
      </w:r>
      <w:r w:rsidR="008644E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den neuerlichen Rückgang 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zum Anlass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ihren Leitzins am 12.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0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3.2025 auf 2,5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 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% zu reduzieren. </w:t>
      </w:r>
      <w:r w:rsidR="00821695" w:rsidRPr="0082169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Als wichtigstes Risiko für die Wirtschafts- und Inflationsentwicklung – und damit de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r</w:t>
      </w:r>
      <w:r w:rsidR="00821695" w:rsidRPr="0082169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erste und wichtigste Grund für die Senkung </w:t>
      </w:r>
      <w:r w:rsidR="00E702C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–</w:t>
      </w:r>
      <w:r w:rsidR="00821695" w:rsidRPr="0082169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gilt </w:t>
      </w:r>
      <w:r w:rsidR="00E702C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für die EZB </w:t>
      </w:r>
      <w:r w:rsidR="001E079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</w:t>
      </w:r>
      <w:r w:rsidR="00821695" w:rsidRPr="0082169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geopolitische Unsicherheit aufgrund von Handels</w:t>
      </w:r>
      <w:r w:rsidR="00E4579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konflikten</w:t>
      </w:r>
      <w:r w:rsidR="00821695" w:rsidRPr="0082169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</w:p>
    <w:p w14:paraId="5B4BADD9" w14:textId="077C0F45" w:rsidR="00C4234C" w:rsidRDefault="00C4234C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Fed senkte den Leitzins </w:t>
      </w:r>
      <w:r w:rsidR="00E4579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vorerst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nicht. Sie wartet noch ab, wie sich die Politik Trumps auf Inflation und Konjunktur </w:t>
      </w:r>
      <w:r w:rsidR="008644E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 den USA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auswirkt. </w:t>
      </w:r>
    </w:p>
    <w:p w14:paraId="620A452F" w14:textId="3D62851C" w:rsidR="00476911" w:rsidRDefault="00476911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chinesische Zentralbank behielt ihren Niedrigzins bei. 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Regierung 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ist bemüht</w:t>
      </w:r>
      <w:r w:rsidR="007B203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mit Konjunkturprogrammen die nach wie vor 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schwelende 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Immobilienkrise abzufedern und mehr Wirtschaftswachstum zu generieren.</w:t>
      </w:r>
    </w:p>
    <w:p w14:paraId="54643D44" w14:textId="77777777" w:rsidR="00FF48E2" w:rsidRDefault="00FF48E2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3A9ADD0D" w14:textId="77777777" w:rsidR="00A1781B" w:rsidRDefault="00A1781B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5C9991D9" w14:textId="48FC13AC" w:rsidR="00A1781B" w:rsidRDefault="00A1781B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2858D14D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3FA39A2B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72E1BB20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71C01A54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480EF48E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30C0BE7A" w14:textId="715A29A1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21452B1E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47F006B4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0C68BE9C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25448584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5DEF9533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4974A9C9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3FB54A0F" w14:textId="77777777" w:rsidR="005577F2" w:rsidRDefault="005577F2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7A46D661" w14:textId="00C8C1D5" w:rsidR="00A1781B" w:rsidRDefault="00E8184B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  <w:r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  <w:drawing>
          <wp:anchor distT="0" distB="0" distL="114300" distR="114300" simplePos="0" relativeHeight="251668992" behindDoc="0" locked="0" layoutInCell="1" allowOverlap="1" wp14:anchorId="68790DCE" wp14:editId="3D9240C9">
            <wp:simplePos x="0" y="0"/>
            <wp:positionH relativeFrom="column">
              <wp:posOffset>1049241</wp:posOffset>
            </wp:positionH>
            <wp:positionV relativeFrom="paragraph">
              <wp:posOffset>0</wp:posOffset>
            </wp:positionV>
            <wp:extent cx="3985260" cy="2360930"/>
            <wp:effectExtent l="0" t="0" r="0" b="1270"/>
            <wp:wrapSquare wrapText="bothSides"/>
            <wp:docPr id="69299415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36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AB73F" w14:textId="77777777" w:rsidR="00A1781B" w:rsidRDefault="00A1781B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04F70475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FF8D753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7D4BC1D7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7D1591B8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FDBFB35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6817E447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6C6DC1B3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6220BE1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8489F2A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00613AD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5ED60D8B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9D35556" w14:textId="77777777" w:rsidR="00962A46" w:rsidRPr="00111A0D" w:rsidRDefault="00962A4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3460EB8" w14:textId="5E647FE1" w:rsidR="00A1781B" w:rsidRPr="00111A0D" w:rsidRDefault="00FF48E2" w:rsidP="00EE0B0C">
      <w:pPr>
        <w:spacing w:line="240" w:lineRule="auto"/>
        <w:ind w:left="1418" w:right="2261" w:firstLine="234"/>
        <w:rPr>
          <w:rFonts w:ascii="Roboto Slab" w:eastAsia="Calibri" w:hAnsi="Roboto Slab" w:cs="Times New Roman"/>
          <w:noProof/>
          <w:color w:val="215868" w:themeColor="accent5" w:themeShade="80"/>
          <w:sz w:val="18"/>
          <w:szCs w:val="18"/>
        </w:rPr>
      </w:pPr>
      <w:r w:rsidRPr="00111A0D">
        <w:rPr>
          <w:rFonts w:ascii="Roboto Slab" w:eastAsia="Calibri" w:hAnsi="Roboto Slab" w:cs="Times New Roman"/>
          <w:noProof/>
          <w:color w:val="215868" w:themeColor="accent5" w:themeShade="80"/>
          <w:sz w:val="18"/>
          <w:szCs w:val="18"/>
        </w:rPr>
        <w:t xml:space="preserve">Quellen: </w:t>
      </w:r>
      <w:r w:rsidR="00962A46" w:rsidRPr="00111A0D">
        <w:rPr>
          <w:rFonts w:ascii="Roboto Slab" w:eastAsia="Calibri" w:hAnsi="Roboto Slab" w:cs="Times New Roman"/>
          <w:noProof/>
          <w:color w:val="215868" w:themeColor="accent5" w:themeShade="80"/>
          <w:sz w:val="18"/>
          <w:szCs w:val="18"/>
        </w:rPr>
        <w:t>https://tradingeconomics.com</w:t>
      </w:r>
    </w:p>
    <w:p w14:paraId="0F7DAF0D" w14:textId="77777777" w:rsidR="00FF48E2" w:rsidRPr="00111A0D" w:rsidRDefault="00FF48E2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18"/>
          <w:szCs w:val="18"/>
        </w:rPr>
      </w:pPr>
    </w:p>
    <w:p w14:paraId="04CBBC08" w14:textId="77777777" w:rsidR="00476911" w:rsidRPr="00111A0D" w:rsidRDefault="00476911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</w:p>
    <w:p w14:paraId="5457EF34" w14:textId="0F04FCF6" w:rsidR="00A1781B" w:rsidRDefault="00233BC4" w:rsidP="00FC7A56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  <w:u w:val="single"/>
        </w:rPr>
      </w:pPr>
      <w:r w:rsidRPr="00FF0B9F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 xml:space="preserve">Entwicklung an den Kapitalmärkten – </w:t>
      </w:r>
      <w:r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>Festverzinsliche</w:t>
      </w:r>
    </w:p>
    <w:p w14:paraId="372ED651" w14:textId="77777777" w:rsidR="00FC7A56" w:rsidRDefault="00FC7A56" w:rsidP="00FC7A56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53A1465B" w14:textId="0799621C" w:rsidR="00233BC4" w:rsidRDefault="00233BC4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Entwicklung der Kapitalmarktzinsen 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in den westlichen Industrieländern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preiste im Verlauf des ersten Quartals unterschiedliche 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Ereignisse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ein.</w:t>
      </w:r>
    </w:p>
    <w:p w14:paraId="03469169" w14:textId="77777777" w:rsidR="00233BC4" w:rsidRDefault="00233BC4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6774D3BC" w14:textId="520A133D" w:rsidR="00EB1F41" w:rsidRDefault="00D07FD9" w:rsidP="00EE0B0C">
      <w:pPr>
        <w:ind w:left="426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In den USA zeichnete sich im Verlauf des ersten Quartals ab, dass die Regierung weder ihre Sparziele einhalten kann noch ihre Verschuldung deckeln will. Die Staatsverschuldung hat ein Niveau von 36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6 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Bio.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US-Dollar erreicht. Mitte März wurde die Deckelung der Obergrenze aufgehoben. Ökonomen hatten das erwartet, 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nachdem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Trump 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schon</w:t>
      </w:r>
      <w:r w:rsidR="00AF2607" w:rsidRPr="00F83E8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Pr="00F83E8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in seiner ersten Amtszeit die Schuldengrenze zweimal erhöht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hatte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Pr="00F83E8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Ratingagenturen beobachten die Entwicklung kritisch. 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V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or dem Hintergrund der politischen Entwicklungen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forderten US-Anleger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höhere 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Risikoprämi</w:t>
      </w:r>
      <w:r w:rsidR="00635F5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en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ein.</w:t>
      </w:r>
      <w:r w:rsidR="00B93B6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Die Renditen stiegen an.</w:t>
      </w:r>
      <w:r w:rsidR="0047691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</w:p>
    <w:p w14:paraId="516E2483" w14:textId="37545868" w:rsidR="0097572E" w:rsidRDefault="0097572E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7B34439B" w14:textId="6AE7BDA3" w:rsidR="00EB1F41" w:rsidRDefault="00CD59CA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Ende Februar kehrte sich der Zinstrend um. </w:t>
      </w:r>
      <w:r w:rsidR="0097572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 deutlicher Kursverlust an den Aktienmärkten führt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</w:t>
      </w:r>
      <w:r w:rsidR="00233BC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97572E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zu einer verstärkten Nachfrage nach Anleihen</w:t>
      </w:r>
      <w:r w:rsidR="00D07FD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944F1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233BC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Die sinkenden Rendite</w:t>
      </w:r>
      <w:r w:rsidR="00AF260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</w:t>
      </w:r>
      <w:r w:rsidR="00233BC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kompensierten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bis zum Quartalsende </w:t>
      </w:r>
      <w:r w:rsidR="00944F1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einen Teil des vorherigen Renditeanstiegs.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</w:p>
    <w:p w14:paraId="7B3D6D72" w14:textId="77777777" w:rsidR="007528B8" w:rsidRDefault="007528B8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34839AE9" w14:textId="58D3D58B" w:rsidR="00B2725C" w:rsidRDefault="00CD59CA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In Deutschland und im Euro</w:t>
      </w:r>
      <w:r w:rsidR="002A349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r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aum </w:t>
      </w:r>
      <w:r w:rsidR="000D0D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legten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Renditen im März </w:t>
      </w:r>
      <w:r w:rsidR="000D0D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zu, wofür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zwei Ursachen</w:t>
      </w:r>
      <w:r w:rsidR="000D0D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zu nennen sind:</w:t>
      </w:r>
      <w:r w:rsidR="002A349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0D0D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Zum Ersten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war die Verzinsung </w:t>
      </w:r>
      <w:r w:rsidR="000D0D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deutscher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Staatsanleihen </w:t>
      </w:r>
      <w:r w:rsidR="0041289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im internationalen Vergleich </w:t>
      </w:r>
      <w:r w:rsidR="000D0D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bislang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niedrig</w:t>
      </w:r>
      <w:r w:rsidR="0041289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Mit dem jetzt beschlossenen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Finanzpakt 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erhöht sich </w:t>
      </w:r>
      <w:r w:rsidR="005D6A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Verschuldung Deutschlands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nachhaltig</w:t>
      </w:r>
      <w:r w:rsidR="005D6A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was zu steigenden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Renditen </w:t>
      </w:r>
      <w:r w:rsidR="005D6A4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führt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a</w:t>
      </w:r>
      <w:r w:rsidR="0041289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uch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wenn </w:t>
      </w:r>
      <w:r w:rsidR="00637FF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im Vergleich mit den USA und anderen europäischen Ländern 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weiterhin </w:t>
      </w:r>
      <w:r w:rsidR="00637FF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noch viel Spielraum nach oben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41289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verbleibt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BF66F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Im Gegensatz zu den </w:t>
      </w:r>
      <w:r w:rsidR="00BF66F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v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erlust</w:t>
      </w:r>
      <w:r w:rsidR="00BF66F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reichen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US-Aktien </w:t>
      </w:r>
      <w:r w:rsidR="008166A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glänzten 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europäische Aktien mit Kurssteigerungen. Es bestand also kein Grund zur Flucht in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den sicheren Hafen der Staatsanleihen.</w:t>
      </w:r>
      <w:r w:rsidR="00944F1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0D0D2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Zum Zweiten zeigt die 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Entwicklung der Renditen weiterhin 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eine Abkopplung von der Leitzinspolitik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 Das gilt z.</w:t>
      </w:r>
      <w:r w:rsidR="00BF66F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 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B. auch </w:t>
      </w:r>
      <w:r w:rsidR="00BF66F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für die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Zinsen </w:t>
      </w:r>
      <w:r w:rsidR="008166A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auf </w:t>
      </w:r>
      <w:r w:rsidR="00A2597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Immobilienkredite</w:t>
      </w:r>
      <w:r w:rsidR="00BF66F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die</w:t>
      </w:r>
      <w:r w:rsidR="00FC7A5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im Schlepptau der Kapitalmarktzinsen </w:t>
      </w:r>
      <w:r w:rsidR="008166A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ebenfalls s</w:t>
      </w:r>
      <w:r w:rsidR="00BF66F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tiegen</w:t>
      </w:r>
      <w:r w:rsidR="00403D6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63563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Die Kosten für Baufinanzierungen in den USA und Europa verteuerten sich spürbar.</w:t>
      </w:r>
      <w:r w:rsidR="00403D6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</w:p>
    <w:p w14:paraId="5612119C" w14:textId="77777777" w:rsidR="00233BC4" w:rsidRDefault="00233BC4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3FAD9E48" w14:textId="77777777" w:rsidR="005577F2" w:rsidRDefault="005577F2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17FA981" w14:textId="77777777" w:rsidR="005577F2" w:rsidRDefault="005577F2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3D437060" w14:textId="77777777" w:rsidR="005577F2" w:rsidRDefault="005577F2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72130826" w14:textId="77777777" w:rsidR="005577F2" w:rsidRDefault="005577F2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4D1FF045" w14:textId="77777777" w:rsidR="005577F2" w:rsidRDefault="005577F2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15501DD8" w14:textId="77777777" w:rsidR="005577F2" w:rsidRDefault="005577F2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328243C4" w14:textId="77777777" w:rsidR="005577F2" w:rsidRDefault="005577F2" w:rsidP="00403D6D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30667856" w14:textId="77777777" w:rsidR="00233BC4" w:rsidRDefault="00233BC4" w:rsidP="00233BC4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  <w:r w:rsidRPr="00FF0B9F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>Entwicklung an den Kapitalmärkten – Aktien</w:t>
      </w:r>
    </w:p>
    <w:p w14:paraId="6C04E545" w14:textId="77777777" w:rsidR="00F83E8C" w:rsidRDefault="00F83E8C" w:rsidP="00233BC4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</w:p>
    <w:p w14:paraId="09B143EB" w14:textId="39C8B6E3" w:rsidR="002B39CF" w:rsidRDefault="00821695" w:rsidP="00233BC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 w:rsidRPr="00821695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</w:t>
      </w:r>
      <w:r w:rsidR="004A592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agressive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Handelspolitik des neuen US-Präsidenten hat die </w:t>
      </w:r>
      <w:r w:rsidR="004A592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US-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Aktienmärkte schock</w:t>
      </w:r>
      <w:r w:rsidR="00F8519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iert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F8519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eutliche Kursrückgänge </w:t>
      </w:r>
      <w:r w:rsidR="00F8519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mussten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inbesondere </w:t>
      </w:r>
      <w:r w:rsidR="00F8519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Technologieaktien</w:t>
      </w:r>
      <w:r w:rsidR="00F85191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hinnehmen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9851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Auch die international aufgestellten US-Unternehmen </w:t>
      </w:r>
      <w:r w:rsidR="00BD675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mit ihren komplexen Lieferketten </w:t>
      </w:r>
      <w:r w:rsidR="009851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leiden unter dem Hin und Her </w:t>
      </w:r>
      <w:r w:rsidR="000D550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der trumpschen </w:t>
      </w:r>
      <w:r w:rsidR="009851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Verhandlungstaktik</w:t>
      </w:r>
      <w:r w:rsidR="00BD675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4A592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Schließlich zielt </w:t>
      </w:r>
      <w:r w:rsidR="00BD675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Trump </w:t>
      </w:r>
      <w:r w:rsidR="009851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darauf ab, möglichst viele Unternehmen zur Produktion in Amerika zu motivieren. </w:t>
      </w:r>
    </w:p>
    <w:p w14:paraId="6ADE407F" w14:textId="77777777" w:rsidR="005577F2" w:rsidRDefault="005577F2" w:rsidP="00233BC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6FB7EE4F" w14:textId="77777777" w:rsidR="00754E01" w:rsidRDefault="00754E01" w:rsidP="00233BC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014EC9FF" w14:textId="3318A3A6" w:rsidR="00FF48E2" w:rsidRDefault="004A592C" w:rsidP="00233BC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Von den Kursrückgängen in den USA profitierten die </w:t>
      </w:r>
      <w:r w:rsidR="00F952D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</w:t>
      </w:r>
      <w:r w:rsidR="002B39C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uropäische</w:t>
      </w:r>
      <w:r w:rsidR="009851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</w:t>
      </w:r>
      <w:r w:rsidR="002B39C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Aktien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2B39CF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Sie gelten als Nachzügler und zeichnen sich </w:t>
      </w:r>
      <w:r w:rsidR="009851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durch attraktive Dividendenrenditen aus.</w:t>
      </w:r>
      <w:r w:rsidR="000D550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Der chinesische Aktienmarkt profitierte von den Konjunkturmaßnahmen der Regierung und vo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m sichtbarer werdenden 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technologischen Fortschritt chinesischer Unternehmen</w:t>
      </w:r>
      <w:r w:rsidR="00F93CD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 Sie konnten zuletzt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0D550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eindrücklich unterstreichen,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0D550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den Anschluss an die 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Weltspitze </w:t>
      </w:r>
      <w:r w:rsidR="000D550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erreicht 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zu haben, so </w:t>
      </w:r>
      <w:r w:rsidR="00F93CD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z.</w:t>
      </w:r>
      <w:r w:rsidR="000D5503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 </w:t>
      </w:r>
      <w:r w:rsidR="00F93CD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B. </w:t>
      </w:r>
      <w:r w:rsidR="00FF48E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im Bereich Elektromobilität und Artificial Intelligence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</w:p>
    <w:p w14:paraId="60CAE6B0" w14:textId="77777777" w:rsidR="00346FE9" w:rsidRDefault="00346FE9" w:rsidP="00233BC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7D561923" w14:textId="7DB8A29C" w:rsidR="00985184" w:rsidRDefault="00985184" w:rsidP="00233BC4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Abbildung </w:t>
      </w:r>
      <w:r w:rsidR="00346FE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veranschaulicht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die divergierende Entwicklung der 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Aktieni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ndi</w:t>
      </w:r>
      <w:r w:rsidR="00346FE9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z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es im ersten Quartal.</w:t>
      </w:r>
    </w:p>
    <w:p w14:paraId="0978EA43" w14:textId="23457885" w:rsidR="002B16F4" w:rsidRDefault="00E8184B" w:rsidP="002B16F4">
      <w:pPr>
        <w:spacing w:line="240" w:lineRule="auto"/>
        <w:ind w:left="426" w:right="567"/>
        <w:rPr>
          <w:rFonts w:ascii="Roboto Slab" w:eastAsia="Calibri" w:hAnsi="Roboto Slab" w:cs="Times New Roman"/>
          <w:i/>
          <w:iCs/>
          <w:noProof/>
          <w:color w:val="215868" w:themeColor="accent5" w:themeShade="80"/>
          <w:sz w:val="20"/>
          <w:szCs w:val="20"/>
          <w:u w:val="single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drawing>
          <wp:anchor distT="0" distB="0" distL="114300" distR="114300" simplePos="0" relativeHeight="251693568" behindDoc="0" locked="0" layoutInCell="1" allowOverlap="1" wp14:anchorId="322DE329" wp14:editId="5311D595">
            <wp:simplePos x="0" y="0"/>
            <wp:positionH relativeFrom="column">
              <wp:posOffset>1359839</wp:posOffset>
            </wp:positionH>
            <wp:positionV relativeFrom="paragraph">
              <wp:posOffset>167640</wp:posOffset>
            </wp:positionV>
            <wp:extent cx="3515995" cy="2316480"/>
            <wp:effectExtent l="0" t="0" r="8255" b="7620"/>
            <wp:wrapTopAndBottom/>
            <wp:docPr id="1794761263" name="Grafik 5" descr="Ein Bild, das Text, Screenshot, Reih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61263" name="Grafik 5" descr="Ein Bild, das Text, Screenshot, Reihe, Schrif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8A78AB" w14:textId="693D989C" w:rsidR="00FF48E2" w:rsidRPr="00E8184B" w:rsidRDefault="00FF48E2" w:rsidP="00E8184B">
      <w:pPr>
        <w:spacing w:line="240" w:lineRule="auto"/>
        <w:ind w:left="1418" w:right="567" w:firstLine="709"/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</w:pPr>
      <w:r w:rsidRPr="00E8184B"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  <w:t xml:space="preserve">Quelle: </w:t>
      </w:r>
      <w:r w:rsidR="00E25C4C" w:rsidRPr="00E8184B">
        <w:rPr>
          <w:rFonts w:ascii="Roboto Slab" w:eastAsia="Calibri" w:hAnsi="Roboto Slab" w:cs="Times New Roman"/>
          <w:noProof/>
          <w:color w:val="215868" w:themeColor="accent5" w:themeShade="80"/>
          <w:sz w:val="16"/>
          <w:szCs w:val="16"/>
        </w:rPr>
        <w:t>https://www.finanzen.net</w:t>
      </w:r>
    </w:p>
    <w:p w14:paraId="09974472" w14:textId="77777777" w:rsidR="00BD675A" w:rsidRDefault="00BD675A" w:rsidP="00FF48E2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6BD0501F" w14:textId="77777777" w:rsidR="00346FE9" w:rsidRPr="00FF48E2" w:rsidRDefault="00346FE9" w:rsidP="00FF48E2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17601525" w14:textId="02457D66" w:rsidR="00FF0B9F" w:rsidRPr="00FF0B9F" w:rsidRDefault="00FF0B9F" w:rsidP="00502B21">
      <w:pPr>
        <w:spacing w:line="240" w:lineRule="auto"/>
        <w:ind w:left="426" w:right="567"/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</w:pPr>
      <w:r w:rsidRPr="00FF0B9F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>Entwicklung bei den Edelmetallen</w:t>
      </w:r>
      <w:r w:rsidR="00121A27">
        <w:rPr>
          <w:rFonts w:ascii="Roboto Slab" w:eastAsia="Calibri" w:hAnsi="Roboto Slab" w:cs="Times New Roman"/>
          <w:b/>
          <w:bCs/>
          <w:noProof/>
          <w:color w:val="215868" w:themeColor="accent5" w:themeShade="80"/>
          <w:sz w:val="20"/>
          <w:szCs w:val="20"/>
        </w:rPr>
        <w:t xml:space="preserve"> und dem EUR/USD-Wechselkurs</w:t>
      </w:r>
    </w:p>
    <w:p w14:paraId="38167BF4" w14:textId="77777777" w:rsidR="00D64D68" w:rsidRDefault="00D64D68" w:rsidP="00502B21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</w:p>
    <w:p w14:paraId="210A1FA2" w14:textId="074AD295" w:rsidR="002C2DB4" w:rsidRDefault="002C2DB4" w:rsidP="00061000">
      <w:pPr>
        <w:spacing w:line="240" w:lineRule="auto"/>
        <w:ind w:left="426" w:right="567"/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Eine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unerwartet starken Anstieg im ersten Quartal 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verzeichnete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der Go</w:t>
      </w:r>
      <w:r w:rsidR="00D64D68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ldpreis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: Hatte er zum 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Jahresanfang 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noch </w:t>
      </w:r>
      <w:r w:rsidR="00E5790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2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E5790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618 US-Dollar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je Unze betragen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, 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überschritt er 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Mitte März 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die Marke von 3.000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US-Dollar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 Mehrere Faktoren trugen dazu bei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 insbesondere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EF1E3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die als Risiko wahrgenommene</w:t>
      </w:r>
      <w:r w:rsidR="00E2248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Handels</w:t>
      </w:r>
      <w:r w:rsidR="00D06E8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- und Außen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politik der USA</w:t>
      </w:r>
      <w:r w:rsidR="00EF1E3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sowie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die Kursverluste der US-Aktien. 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Auch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dass Elon Musk </w:t>
      </w:r>
      <w:r w:rsidR="002B16F4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öffentlichkeitswirksam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die Existenz der US-Goldreserve</w:t>
      </w:r>
      <w:r w:rsidR="00E5790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in Höhe von 147 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Mio. </w:t>
      </w:r>
      <w:r w:rsidR="00E5790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Unzen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infrage stellte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,</w:t>
      </w:r>
      <w:r w:rsidR="00061000" w:rsidRP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unterstützte den Preisanstieg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. </w:t>
      </w:r>
      <w:r w:rsidR="00D06E8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Hier </w:t>
      </w:r>
      <w:r w:rsidR="00291E5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ist zuzugestehen</w:t>
      </w:r>
      <w:r w:rsidR="00D06E8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, dass Überprüfungen in der Vergangenheit </w:t>
      </w:r>
      <w:r w:rsidR="00EF1E36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nur </w:t>
      </w:r>
      <w:r w:rsidR="00D06E8A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mittels Stichproben erfolgten.</w:t>
      </w:r>
      <w:r w:rsidR="00061000" w:rsidRP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48256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Angesichts der beschriebenen Unsicherheiten kauften sowohl</w:t>
      </w:r>
      <w:r w:rsidR="00291E5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Privatanleger als auch die Zentralbanken </w:t>
      </w:r>
      <w:r w:rsidR="00291E5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das gelbe Edelmetall</w:t>
      </w:r>
      <w:r w:rsidR="0006100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</w:p>
    <w:p w14:paraId="2B4309C3" w14:textId="3F1D7007" w:rsidR="00E038AB" w:rsidRPr="00310427" w:rsidRDefault="002B16F4" w:rsidP="005577F2">
      <w:pPr>
        <w:spacing w:line="240" w:lineRule="auto"/>
        <w:ind w:left="426" w:right="567"/>
        <w:rPr>
          <w:rFonts w:asciiTheme="minorHAnsi" w:hAnsiTheme="minorHAnsi" w:cs="Arial"/>
          <w:bCs/>
          <w:w w:val="90"/>
          <w:sz w:val="16"/>
          <w:szCs w:val="16"/>
        </w:rPr>
      </w:pP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Der Silberpreis verharrte lange um die Marke von 30 </w:t>
      </w:r>
      <w:r w:rsidR="00121A2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US-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Dollar je Feinunze. Schließlich gelang ihm </w:t>
      </w:r>
      <w:r w:rsidR="00482560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ab Ende Januar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der Ausbruch aus dem Seitwärtstrend. Er erreichte </w:t>
      </w:r>
      <w:r w:rsidR="00291E5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Ende März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ein</w:t>
      </w:r>
      <w:r w:rsidR="00121A2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en Wert</w:t>
      </w:r>
      <w:r w:rsidR="00291E5D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von </w:t>
      </w:r>
      <w:r w:rsidR="00121A27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34,10 US-Dollar</w:t>
      </w:r>
      <w:r w:rsidR="00E5790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.</w:t>
      </w:r>
      <w:r w:rsidR="005577F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</w:t>
      </w:r>
      <w:r w:rsidR="0079410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Der </w:t>
      </w:r>
      <w:r w:rsidR="00EE0B0C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US-Dollar</w:t>
      </w:r>
      <w:r w:rsidR="0079410B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 xml:space="preserve"> ist nach einer Seitwärtsbewegung um die Marke von 1,04 Euro im März auf 1,09 Euro gestiege</w:t>
      </w:r>
      <w:bookmarkEnd w:id="0"/>
      <w:r w:rsidR="005577F2">
        <w:rPr>
          <w:rFonts w:ascii="Roboto Slab" w:eastAsia="Calibri" w:hAnsi="Roboto Slab" w:cs="Times New Roman"/>
          <w:noProof/>
          <w:color w:val="215868" w:themeColor="accent5" w:themeShade="80"/>
          <w:sz w:val="20"/>
          <w:szCs w:val="20"/>
        </w:rPr>
        <w:t>n.</w:t>
      </w:r>
    </w:p>
    <w:sectPr w:rsidR="00E038AB" w:rsidRPr="00310427" w:rsidSect="00284E9B">
      <w:headerReference w:type="default" r:id="rId15"/>
      <w:footerReference w:type="default" r:id="rId16"/>
      <w:pgSz w:w="11901" w:h="16817"/>
      <w:pgMar w:top="851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36B0" w14:textId="77777777" w:rsidR="008D0548" w:rsidRDefault="008D0548" w:rsidP="002A7F66">
      <w:pPr>
        <w:spacing w:line="240" w:lineRule="auto"/>
      </w:pPr>
      <w:r>
        <w:separator/>
      </w:r>
    </w:p>
  </w:endnote>
  <w:endnote w:type="continuationSeparator" w:id="0">
    <w:p w14:paraId="114C3515" w14:textId="77777777" w:rsidR="008D0548" w:rsidRDefault="008D0548" w:rsidP="002A7F66">
      <w:pPr>
        <w:spacing w:line="240" w:lineRule="auto"/>
      </w:pPr>
      <w:r>
        <w:continuationSeparator/>
      </w:r>
    </w:p>
  </w:endnote>
  <w:endnote w:type="continuationNotice" w:id="1">
    <w:p w14:paraId="2F1037B0" w14:textId="77777777" w:rsidR="008D0548" w:rsidRDefault="008D05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55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BC91" w14:textId="77777777" w:rsidR="00812BBA" w:rsidRPr="004E563F" w:rsidRDefault="00812BBA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96E38" w14:textId="77777777" w:rsidR="008D0548" w:rsidRDefault="008D0548" w:rsidP="002A7F66">
      <w:pPr>
        <w:spacing w:line="240" w:lineRule="auto"/>
      </w:pPr>
      <w:r>
        <w:separator/>
      </w:r>
    </w:p>
  </w:footnote>
  <w:footnote w:type="continuationSeparator" w:id="0">
    <w:p w14:paraId="61056AC2" w14:textId="77777777" w:rsidR="008D0548" w:rsidRDefault="008D0548" w:rsidP="002A7F66">
      <w:pPr>
        <w:spacing w:line="240" w:lineRule="auto"/>
      </w:pPr>
      <w:r>
        <w:continuationSeparator/>
      </w:r>
    </w:p>
  </w:footnote>
  <w:footnote w:type="continuationNotice" w:id="1">
    <w:p w14:paraId="790B3AFC" w14:textId="77777777" w:rsidR="008D0548" w:rsidRDefault="008D05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9823" w14:textId="5682E8B7" w:rsidR="005577F2" w:rsidRDefault="005577F2" w:rsidP="005577F2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noProof/>
        <w:sz w:val="24"/>
      </w:rPr>
    </w:pPr>
    <w:r w:rsidRPr="005577F2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2E36ED89" wp14:editId="6FB2970E">
          <wp:simplePos x="0" y="0"/>
          <wp:positionH relativeFrom="column">
            <wp:posOffset>2634615</wp:posOffset>
          </wp:positionH>
          <wp:positionV relativeFrom="paragraph">
            <wp:posOffset>-196215</wp:posOffset>
          </wp:positionV>
          <wp:extent cx="863600" cy="863600"/>
          <wp:effectExtent l="0" t="0" r="0" b="0"/>
          <wp:wrapNone/>
          <wp:docPr id="1753465913" name="Bild 2" descr="Ein Bild, das Schrift, Logo, Text, Grafiken enthäl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in Bild, das Schrift, Logo, Text, Grafiken enthäl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B7B06" w14:textId="77777777" w:rsidR="00C6605C" w:rsidRDefault="00C6605C">
    <w:pPr>
      <w:pStyle w:val="Kopfzeile"/>
    </w:pPr>
  </w:p>
  <w:p w14:paraId="193B4B35" w14:textId="77777777" w:rsidR="00C6605C" w:rsidRDefault="00C6605C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C41"/>
    <w:multiLevelType w:val="hybridMultilevel"/>
    <w:tmpl w:val="7BD04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39F1"/>
    <w:multiLevelType w:val="hybridMultilevel"/>
    <w:tmpl w:val="708C2818"/>
    <w:lvl w:ilvl="0" w:tplc="7D0E2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3D9"/>
    <w:multiLevelType w:val="hybridMultilevel"/>
    <w:tmpl w:val="9D04273E"/>
    <w:lvl w:ilvl="0" w:tplc="10ACF7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6E8"/>
    <w:multiLevelType w:val="hybridMultilevel"/>
    <w:tmpl w:val="AD5AEB20"/>
    <w:lvl w:ilvl="0" w:tplc="1786EB52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56B9C"/>
    <w:multiLevelType w:val="hybridMultilevel"/>
    <w:tmpl w:val="FF62EBE4"/>
    <w:lvl w:ilvl="0" w:tplc="C8FE508E">
      <w:start w:val="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0FAB"/>
    <w:multiLevelType w:val="hybridMultilevel"/>
    <w:tmpl w:val="7D8CFFB4"/>
    <w:lvl w:ilvl="0" w:tplc="15827D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F3ECE"/>
    <w:multiLevelType w:val="hybridMultilevel"/>
    <w:tmpl w:val="89A87A66"/>
    <w:lvl w:ilvl="0" w:tplc="0F849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445D0"/>
    <w:multiLevelType w:val="hybridMultilevel"/>
    <w:tmpl w:val="D99A7052"/>
    <w:lvl w:ilvl="0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8" w15:restartNumberingAfterBreak="0">
    <w:nsid w:val="3D1D486C"/>
    <w:multiLevelType w:val="hybridMultilevel"/>
    <w:tmpl w:val="55A05086"/>
    <w:lvl w:ilvl="0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D2F02A7"/>
    <w:multiLevelType w:val="hybridMultilevel"/>
    <w:tmpl w:val="00120EFA"/>
    <w:lvl w:ilvl="0" w:tplc="F32A26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27E5"/>
    <w:multiLevelType w:val="hybridMultilevel"/>
    <w:tmpl w:val="538A3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0227B"/>
    <w:multiLevelType w:val="hybridMultilevel"/>
    <w:tmpl w:val="F7CCC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3183"/>
    <w:multiLevelType w:val="hybridMultilevel"/>
    <w:tmpl w:val="5A6AF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C8E"/>
    <w:multiLevelType w:val="hybridMultilevel"/>
    <w:tmpl w:val="270A27F0"/>
    <w:lvl w:ilvl="0" w:tplc="28ACB5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32C5"/>
    <w:multiLevelType w:val="hybridMultilevel"/>
    <w:tmpl w:val="E778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C25"/>
    <w:multiLevelType w:val="hybridMultilevel"/>
    <w:tmpl w:val="6060DE6C"/>
    <w:lvl w:ilvl="0" w:tplc="11985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23D1"/>
    <w:multiLevelType w:val="hybridMultilevel"/>
    <w:tmpl w:val="D026E47E"/>
    <w:lvl w:ilvl="0" w:tplc="846C86BE">
      <w:start w:val="1"/>
      <w:numFmt w:val="bullet"/>
      <w:lvlText w:val="-"/>
      <w:lvlJc w:val="left"/>
      <w:pPr>
        <w:ind w:left="1068" w:hanging="360"/>
      </w:pPr>
      <w:rPr>
        <w:rFonts w:ascii="Univers 55" w:eastAsia="Calibri" w:hAnsi="Univers 55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417900"/>
    <w:multiLevelType w:val="hybridMultilevel"/>
    <w:tmpl w:val="83F6E1F8"/>
    <w:lvl w:ilvl="0" w:tplc="294EE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C3063"/>
    <w:multiLevelType w:val="hybridMultilevel"/>
    <w:tmpl w:val="1902DFCA"/>
    <w:lvl w:ilvl="0" w:tplc="294EE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73459"/>
    <w:multiLevelType w:val="hybridMultilevel"/>
    <w:tmpl w:val="9294C3E0"/>
    <w:lvl w:ilvl="0" w:tplc="6FD4B3DC">
      <w:start w:val="1"/>
      <w:numFmt w:val="decimal"/>
      <w:pStyle w:val="StandardtextmitAufzhlung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58A8"/>
    <w:multiLevelType w:val="hybridMultilevel"/>
    <w:tmpl w:val="FD0659E2"/>
    <w:lvl w:ilvl="0" w:tplc="93EC6D6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360709">
    <w:abstractNumId w:val="1"/>
  </w:num>
  <w:num w:numId="2" w16cid:durableId="1816798439">
    <w:abstractNumId w:val="13"/>
  </w:num>
  <w:num w:numId="3" w16cid:durableId="1940135318">
    <w:abstractNumId w:val="15"/>
  </w:num>
  <w:num w:numId="4" w16cid:durableId="1424841846">
    <w:abstractNumId w:val="5"/>
  </w:num>
  <w:num w:numId="5" w16cid:durableId="2111507335">
    <w:abstractNumId w:val="17"/>
  </w:num>
  <w:num w:numId="6" w16cid:durableId="1314143053">
    <w:abstractNumId w:val="18"/>
  </w:num>
  <w:num w:numId="7" w16cid:durableId="1549998268">
    <w:abstractNumId w:val="7"/>
  </w:num>
  <w:num w:numId="8" w16cid:durableId="1375739953">
    <w:abstractNumId w:val="12"/>
  </w:num>
  <w:num w:numId="9" w16cid:durableId="848565084">
    <w:abstractNumId w:val="11"/>
  </w:num>
  <w:num w:numId="10" w16cid:durableId="2094744141">
    <w:abstractNumId w:val="3"/>
  </w:num>
  <w:num w:numId="11" w16cid:durableId="551309553">
    <w:abstractNumId w:val="9"/>
  </w:num>
  <w:num w:numId="12" w16cid:durableId="2128425958">
    <w:abstractNumId w:val="4"/>
  </w:num>
  <w:num w:numId="13" w16cid:durableId="1181242589">
    <w:abstractNumId w:val="20"/>
  </w:num>
  <w:num w:numId="14" w16cid:durableId="476146296">
    <w:abstractNumId w:val="19"/>
  </w:num>
  <w:num w:numId="15" w16cid:durableId="1338385694">
    <w:abstractNumId w:val="2"/>
  </w:num>
  <w:num w:numId="16" w16cid:durableId="366027640">
    <w:abstractNumId w:val="19"/>
  </w:num>
  <w:num w:numId="17" w16cid:durableId="1464806178">
    <w:abstractNumId w:val="6"/>
  </w:num>
  <w:num w:numId="18" w16cid:durableId="1727601925">
    <w:abstractNumId w:val="19"/>
    <w:lvlOverride w:ilvl="0">
      <w:startOverride w:val="3"/>
    </w:lvlOverride>
  </w:num>
  <w:num w:numId="19" w16cid:durableId="2066247107">
    <w:abstractNumId w:val="19"/>
    <w:lvlOverride w:ilvl="0">
      <w:startOverride w:val="5"/>
    </w:lvlOverride>
  </w:num>
  <w:num w:numId="20" w16cid:durableId="1583952818">
    <w:abstractNumId w:val="19"/>
    <w:lvlOverride w:ilvl="0">
      <w:startOverride w:val="1"/>
    </w:lvlOverride>
  </w:num>
  <w:num w:numId="21" w16cid:durableId="1698462306">
    <w:abstractNumId w:val="8"/>
  </w:num>
  <w:num w:numId="22" w16cid:durableId="1720129876">
    <w:abstractNumId w:val="0"/>
  </w:num>
  <w:num w:numId="23" w16cid:durableId="699092584">
    <w:abstractNumId w:val="10"/>
  </w:num>
  <w:num w:numId="24" w16cid:durableId="1741099740">
    <w:abstractNumId w:val="14"/>
  </w:num>
  <w:num w:numId="25" w16cid:durableId="1450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consecutiveHyphenLimit w:val="3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86"/>
    <w:rsid w:val="000003F0"/>
    <w:rsid w:val="000021A3"/>
    <w:rsid w:val="000022F6"/>
    <w:rsid w:val="00003D79"/>
    <w:rsid w:val="00004E5C"/>
    <w:rsid w:val="00004E98"/>
    <w:rsid w:val="0001069F"/>
    <w:rsid w:val="00011A1F"/>
    <w:rsid w:val="00011DCE"/>
    <w:rsid w:val="00012886"/>
    <w:rsid w:val="00012A90"/>
    <w:rsid w:val="000159F4"/>
    <w:rsid w:val="00015F0B"/>
    <w:rsid w:val="000172C5"/>
    <w:rsid w:val="00017BCB"/>
    <w:rsid w:val="000225B7"/>
    <w:rsid w:val="0002622D"/>
    <w:rsid w:val="00032472"/>
    <w:rsid w:val="00032887"/>
    <w:rsid w:val="00032DB6"/>
    <w:rsid w:val="00033A3D"/>
    <w:rsid w:val="00033E39"/>
    <w:rsid w:val="00034A92"/>
    <w:rsid w:val="00034AFA"/>
    <w:rsid w:val="0003519E"/>
    <w:rsid w:val="000366C1"/>
    <w:rsid w:val="00036D2D"/>
    <w:rsid w:val="00040831"/>
    <w:rsid w:val="00041159"/>
    <w:rsid w:val="0004208F"/>
    <w:rsid w:val="00042C25"/>
    <w:rsid w:val="0004316E"/>
    <w:rsid w:val="00044397"/>
    <w:rsid w:val="00045B43"/>
    <w:rsid w:val="00045C38"/>
    <w:rsid w:val="00050164"/>
    <w:rsid w:val="00050B8B"/>
    <w:rsid w:val="00050B9D"/>
    <w:rsid w:val="00051304"/>
    <w:rsid w:val="000524B1"/>
    <w:rsid w:val="0005281C"/>
    <w:rsid w:val="00052CAF"/>
    <w:rsid w:val="000547C2"/>
    <w:rsid w:val="00055046"/>
    <w:rsid w:val="00056A0B"/>
    <w:rsid w:val="00056FD3"/>
    <w:rsid w:val="00061000"/>
    <w:rsid w:val="00061A6F"/>
    <w:rsid w:val="000627C4"/>
    <w:rsid w:val="0006425E"/>
    <w:rsid w:val="000668CA"/>
    <w:rsid w:val="00066C01"/>
    <w:rsid w:val="000678B0"/>
    <w:rsid w:val="0007273B"/>
    <w:rsid w:val="000737F8"/>
    <w:rsid w:val="000739BD"/>
    <w:rsid w:val="00074040"/>
    <w:rsid w:val="000743AC"/>
    <w:rsid w:val="00076206"/>
    <w:rsid w:val="0007642F"/>
    <w:rsid w:val="00076F4A"/>
    <w:rsid w:val="000771E0"/>
    <w:rsid w:val="00077FE5"/>
    <w:rsid w:val="00080109"/>
    <w:rsid w:val="000805FD"/>
    <w:rsid w:val="00081BBB"/>
    <w:rsid w:val="00084159"/>
    <w:rsid w:val="000855DD"/>
    <w:rsid w:val="00086A8F"/>
    <w:rsid w:val="000876AF"/>
    <w:rsid w:val="000914BD"/>
    <w:rsid w:val="00092003"/>
    <w:rsid w:val="00092ABD"/>
    <w:rsid w:val="00093CC7"/>
    <w:rsid w:val="00093E68"/>
    <w:rsid w:val="00094E73"/>
    <w:rsid w:val="0009708E"/>
    <w:rsid w:val="00097BD1"/>
    <w:rsid w:val="000A07D9"/>
    <w:rsid w:val="000A1434"/>
    <w:rsid w:val="000A2FCD"/>
    <w:rsid w:val="000A4A7B"/>
    <w:rsid w:val="000A59F9"/>
    <w:rsid w:val="000A62BC"/>
    <w:rsid w:val="000A70A7"/>
    <w:rsid w:val="000B005E"/>
    <w:rsid w:val="000B157C"/>
    <w:rsid w:val="000B191E"/>
    <w:rsid w:val="000B3793"/>
    <w:rsid w:val="000B7427"/>
    <w:rsid w:val="000B7F2C"/>
    <w:rsid w:val="000C2590"/>
    <w:rsid w:val="000C3F45"/>
    <w:rsid w:val="000C5093"/>
    <w:rsid w:val="000C79FD"/>
    <w:rsid w:val="000D0049"/>
    <w:rsid w:val="000D0D2F"/>
    <w:rsid w:val="000D2CC4"/>
    <w:rsid w:val="000D360B"/>
    <w:rsid w:val="000D3C7A"/>
    <w:rsid w:val="000D3D7B"/>
    <w:rsid w:val="000D5503"/>
    <w:rsid w:val="000D5552"/>
    <w:rsid w:val="000D5A34"/>
    <w:rsid w:val="000D5FC0"/>
    <w:rsid w:val="000D7940"/>
    <w:rsid w:val="000E0AD8"/>
    <w:rsid w:val="000E0BE0"/>
    <w:rsid w:val="000E19C3"/>
    <w:rsid w:val="000E2207"/>
    <w:rsid w:val="000E4F43"/>
    <w:rsid w:val="000E5550"/>
    <w:rsid w:val="000E5B8D"/>
    <w:rsid w:val="000E6DC4"/>
    <w:rsid w:val="000E7219"/>
    <w:rsid w:val="000F119D"/>
    <w:rsid w:val="000F13BB"/>
    <w:rsid w:val="000F1A36"/>
    <w:rsid w:val="000F1A49"/>
    <w:rsid w:val="000F3844"/>
    <w:rsid w:val="000F3C3F"/>
    <w:rsid w:val="000F6215"/>
    <w:rsid w:val="000F647C"/>
    <w:rsid w:val="0010181B"/>
    <w:rsid w:val="00105BED"/>
    <w:rsid w:val="001075FF"/>
    <w:rsid w:val="00107C02"/>
    <w:rsid w:val="00107ED2"/>
    <w:rsid w:val="001102F6"/>
    <w:rsid w:val="00110469"/>
    <w:rsid w:val="00110C4E"/>
    <w:rsid w:val="00111096"/>
    <w:rsid w:val="00111A0D"/>
    <w:rsid w:val="001124F1"/>
    <w:rsid w:val="00112726"/>
    <w:rsid w:val="00112A52"/>
    <w:rsid w:val="001148C6"/>
    <w:rsid w:val="001172A7"/>
    <w:rsid w:val="001200DA"/>
    <w:rsid w:val="00120C71"/>
    <w:rsid w:val="0012149F"/>
    <w:rsid w:val="00121A27"/>
    <w:rsid w:val="00122295"/>
    <w:rsid w:val="00122CBA"/>
    <w:rsid w:val="0012338F"/>
    <w:rsid w:val="00124ABE"/>
    <w:rsid w:val="001261D5"/>
    <w:rsid w:val="001267C2"/>
    <w:rsid w:val="001270D1"/>
    <w:rsid w:val="001272BE"/>
    <w:rsid w:val="00127783"/>
    <w:rsid w:val="001305C3"/>
    <w:rsid w:val="001317FA"/>
    <w:rsid w:val="00131ACA"/>
    <w:rsid w:val="00132D32"/>
    <w:rsid w:val="00133E47"/>
    <w:rsid w:val="00137BD5"/>
    <w:rsid w:val="001403C0"/>
    <w:rsid w:val="001404C2"/>
    <w:rsid w:val="00140741"/>
    <w:rsid w:val="00141465"/>
    <w:rsid w:val="00145593"/>
    <w:rsid w:val="001461A0"/>
    <w:rsid w:val="001468E2"/>
    <w:rsid w:val="00146A8D"/>
    <w:rsid w:val="001471E4"/>
    <w:rsid w:val="001506FC"/>
    <w:rsid w:val="00155507"/>
    <w:rsid w:val="00156484"/>
    <w:rsid w:val="0015672C"/>
    <w:rsid w:val="0015789D"/>
    <w:rsid w:val="00161953"/>
    <w:rsid w:val="00162980"/>
    <w:rsid w:val="001645A9"/>
    <w:rsid w:val="00164EB0"/>
    <w:rsid w:val="00165970"/>
    <w:rsid w:val="001659BF"/>
    <w:rsid w:val="00167871"/>
    <w:rsid w:val="001679C7"/>
    <w:rsid w:val="0017007C"/>
    <w:rsid w:val="00170439"/>
    <w:rsid w:val="00171F84"/>
    <w:rsid w:val="001734FE"/>
    <w:rsid w:val="00173AB9"/>
    <w:rsid w:val="001751D8"/>
    <w:rsid w:val="001759A5"/>
    <w:rsid w:val="001767F8"/>
    <w:rsid w:val="00182A48"/>
    <w:rsid w:val="001843BF"/>
    <w:rsid w:val="00184CBA"/>
    <w:rsid w:val="00190B1F"/>
    <w:rsid w:val="001918C3"/>
    <w:rsid w:val="0019289B"/>
    <w:rsid w:val="00195BE5"/>
    <w:rsid w:val="0019649F"/>
    <w:rsid w:val="0019659D"/>
    <w:rsid w:val="00196FDC"/>
    <w:rsid w:val="001A06FC"/>
    <w:rsid w:val="001A22A9"/>
    <w:rsid w:val="001A366D"/>
    <w:rsid w:val="001A3F86"/>
    <w:rsid w:val="001A4EDA"/>
    <w:rsid w:val="001A52A5"/>
    <w:rsid w:val="001A6249"/>
    <w:rsid w:val="001A7DA5"/>
    <w:rsid w:val="001A7E56"/>
    <w:rsid w:val="001B072D"/>
    <w:rsid w:val="001B0CFE"/>
    <w:rsid w:val="001B101C"/>
    <w:rsid w:val="001B2DE0"/>
    <w:rsid w:val="001B5145"/>
    <w:rsid w:val="001B5E7F"/>
    <w:rsid w:val="001B5EE5"/>
    <w:rsid w:val="001B75E7"/>
    <w:rsid w:val="001C2DCA"/>
    <w:rsid w:val="001C3F0E"/>
    <w:rsid w:val="001C4527"/>
    <w:rsid w:val="001C6B52"/>
    <w:rsid w:val="001C6BB5"/>
    <w:rsid w:val="001C6FBC"/>
    <w:rsid w:val="001D027F"/>
    <w:rsid w:val="001D0525"/>
    <w:rsid w:val="001D1AB1"/>
    <w:rsid w:val="001D1B8A"/>
    <w:rsid w:val="001D3DE2"/>
    <w:rsid w:val="001D479A"/>
    <w:rsid w:val="001D5CE6"/>
    <w:rsid w:val="001D6E9F"/>
    <w:rsid w:val="001E079E"/>
    <w:rsid w:val="001E0C06"/>
    <w:rsid w:val="001E0C83"/>
    <w:rsid w:val="001E2A04"/>
    <w:rsid w:val="001E2A65"/>
    <w:rsid w:val="001E34CC"/>
    <w:rsid w:val="001E3BF3"/>
    <w:rsid w:val="001E5A6A"/>
    <w:rsid w:val="001E5E68"/>
    <w:rsid w:val="001E6486"/>
    <w:rsid w:val="001E69C0"/>
    <w:rsid w:val="001E6D22"/>
    <w:rsid w:val="001E71E8"/>
    <w:rsid w:val="001E7EC3"/>
    <w:rsid w:val="001F0D03"/>
    <w:rsid w:val="001F1399"/>
    <w:rsid w:val="001F2043"/>
    <w:rsid w:val="001F2338"/>
    <w:rsid w:val="001F4A6E"/>
    <w:rsid w:val="001F4D8F"/>
    <w:rsid w:val="001F76A7"/>
    <w:rsid w:val="002010AF"/>
    <w:rsid w:val="002044B5"/>
    <w:rsid w:val="002071FC"/>
    <w:rsid w:val="0021052F"/>
    <w:rsid w:val="00211F20"/>
    <w:rsid w:val="0021320B"/>
    <w:rsid w:val="00213572"/>
    <w:rsid w:val="00214B06"/>
    <w:rsid w:val="0021669D"/>
    <w:rsid w:val="00221283"/>
    <w:rsid w:val="00221B6F"/>
    <w:rsid w:val="002223B5"/>
    <w:rsid w:val="00222CF6"/>
    <w:rsid w:val="00222E92"/>
    <w:rsid w:val="00226433"/>
    <w:rsid w:val="0023052A"/>
    <w:rsid w:val="002310AF"/>
    <w:rsid w:val="00231300"/>
    <w:rsid w:val="00232D97"/>
    <w:rsid w:val="002334DD"/>
    <w:rsid w:val="00233BC4"/>
    <w:rsid w:val="00236804"/>
    <w:rsid w:val="00241457"/>
    <w:rsid w:val="002419B0"/>
    <w:rsid w:val="002423F7"/>
    <w:rsid w:val="00243070"/>
    <w:rsid w:val="002448FE"/>
    <w:rsid w:val="00244CAF"/>
    <w:rsid w:val="0024550A"/>
    <w:rsid w:val="00245DF0"/>
    <w:rsid w:val="00246ECD"/>
    <w:rsid w:val="00247944"/>
    <w:rsid w:val="00247D45"/>
    <w:rsid w:val="00250418"/>
    <w:rsid w:val="002505B4"/>
    <w:rsid w:val="00251BF1"/>
    <w:rsid w:val="00252809"/>
    <w:rsid w:val="00252ED7"/>
    <w:rsid w:val="00255780"/>
    <w:rsid w:val="002559DE"/>
    <w:rsid w:val="00255F38"/>
    <w:rsid w:val="00257630"/>
    <w:rsid w:val="00257943"/>
    <w:rsid w:val="00260EE1"/>
    <w:rsid w:val="0026319C"/>
    <w:rsid w:val="00265E46"/>
    <w:rsid w:val="00270A1B"/>
    <w:rsid w:val="00270E72"/>
    <w:rsid w:val="00270F83"/>
    <w:rsid w:val="00272A21"/>
    <w:rsid w:val="00273182"/>
    <w:rsid w:val="00273C24"/>
    <w:rsid w:val="00276C33"/>
    <w:rsid w:val="002803B7"/>
    <w:rsid w:val="00281B01"/>
    <w:rsid w:val="002849A2"/>
    <w:rsid w:val="00284E9B"/>
    <w:rsid w:val="0028502A"/>
    <w:rsid w:val="00286134"/>
    <w:rsid w:val="00286E6F"/>
    <w:rsid w:val="002910F2"/>
    <w:rsid w:val="00291E5D"/>
    <w:rsid w:val="0029232C"/>
    <w:rsid w:val="00292651"/>
    <w:rsid w:val="00292FFF"/>
    <w:rsid w:val="002931D7"/>
    <w:rsid w:val="0029389F"/>
    <w:rsid w:val="00294A81"/>
    <w:rsid w:val="00295DE3"/>
    <w:rsid w:val="002965E2"/>
    <w:rsid w:val="002976F7"/>
    <w:rsid w:val="002A0BD7"/>
    <w:rsid w:val="002A0CE5"/>
    <w:rsid w:val="002A26A3"/>
    <w:rsid w:val="002A349A"/>
    <w:rsid w:val="002A3CB2"/>
    <w:rsid w:val="002A46F6"/>
    <w:rsid w:val="002A619B"/>
    <w:rsid w:val="002A7547"/>
    <w:rsid w:val="002A7F66"/>
    <w:rsid w:val="002B0873"/>
    <w:rsid w:val="002B0A7B"/>
    <w:rsid w:val="002B0B6D"/>
    <w:rsid w:val="002B16F4"/>
    <w:rsid w:val="002B1BD3"/>
    <w:rsid w:val="002B38B3"/>
    <w:rsid w:val="002B39CF"/>
    <w:rsid w:val="002B4C13"/>
    <w:rsid w:val="002B65F0"/>
    <w:rsid w:val="002B6C88"/>
    <w:rsid w:val="002B73A1"/>
    <w:rsid w:val="002C19FF"/>
    <w:rsid w:val="002C2DB4"/>
    <w:rsid w:val="002C53C3"/>
    <w:rsid w:val="002C5531"/>
    <w:rsid w:val="002C56C9"/>
    <w:rsid w:val="002C60B7"/>
    <w:rsid w:val="002C729A"/>
    <w:rsid w:val="002C7CB3"/>
    <w:rsid w:val="002D0187"/>
    <w:rsid w:val="002D1646"/>
    <w:rsid w:val="002D17D0"/>
    <w:rsid w:val="002D17DF"/>
    <w:rsid w:val="002D18B3"/>
    <w:rsid w:val="002D1951"/>
    <w:rsid w:val="002D1BCB"/>
    <w:rsid w:val="002D1F9B"/>
    <w:rsid w:val="002D2ED2"/>
    <w:rsid w:val="002D3305"/>
    <w:rsid w:val="002D4439"/>
    <w:rsid w:val="002E0F08"/>
    <w:rsid w:val="002E1373"/>
    <w:rsid w:val="002E13D5"/>
    <w:rsid w:val="002E53B8"/>
    <w:rsid w:val="002E6182"/>
    <w:rsid w:val="002F15B3"/>
    <w:rsid w:val="002F2064"/>
    <w:rsid w:val="002F2D3C"/>
    <w:rsid w:val="002F3A34"/>
    <w:rsid w:val="002F55B5"/>
    <w:rsid w:val="002F59A2"/>
    <w:rsid w:val="002F5CDF"/>
    <w:rsid w:val="002F76C9"/>
    <w:rsid w:val="00301769"/>
    <w:rsid w:val="00301ED7"/>
    <w:rsid w:val="0030386F"/>
    <w:rsid w:val="00305575"/>
    <w:rsid w:val="00305FB2"/>
    <w:rsid w:val="003062A5"/>
    <w:rsid w:val="00306794"/>
    <w:rsid w:val="003067B3"/>
    <w:rsid w:val="00310427"/>
    <w:rsid w:val="00315600"/>
    <w:rsid w:val="0031709A"/>
    <w:rsid w:val="00320D30"/>
    <w:rsid w:val="00320F0F"/>
    <w:rsid w:val="0032116B"/>
    <w:rsid w:val="00321E4D"/>
    <w:rsid w:val="00322EE4"/>
    <w:rsid w:val="003234DD"/>
    <w:rsid w:val="0032552B"/>
    <w:rsid w:val="0032702A"/>
    <w:rsid w:val="0033055B"/>
    <w:rsid w:val="00331334"/>
    <w:rsid w:val="00331A72"/>
    <w:rsid w:val="00332497"/>
    <w:rsid w:val="00332A55"/>
    <w:rsid w:val="00333D63"/>
    <w:rsid w:val="00335360"/>
    <w:rsid w:val="00335C22"/>
    <w:rsid w:val="00340171"/>
    <w:rsid w:val="00340495"/>
    <w:rsid w:val="00341EBC"/>
    <w:rsid w:val="003434E6"/>
    <w:rsid w:val="00344065"/>
    <w:rsid w:val="00345325"/>
    <w:rsid w:val="00346FE9"/>
    <w:rsid w:val="003470FF"/>
    <w:rsid w:val="003471F9"/>
    <w:rsid w:val="00347F0A"/>
    <w:rsid w:val="0035152A"/>
    <w:rsid w:val="0035421F"/>
    <w:rsid w:val="003569E3"/>
    <w:rsid w:val="003571FF"/>
    <w:rsid w:val="003606D4"/>
    <w:rsid w:val="00360CD1"/>
    <w:rsid w:val="00360F6F"/>
    <w:rsid w:val="00361564"/>
    <w:rsid w:val="00361D45"/>
    <w:rsid w:val="0036214A"/>
    <w:rsid w:val="00363507"/>
    <w:rsid w:val="0036360F"/>
    <w:rsid w:val="00363748"/>
    <w:rsid w:val="003657CA"/>
    <w:rsid w:val="00365964"/>
    <w:rsid w:val="00367D34"/>
    <w:rsid w:val="0037019A"/>
    <w:rsid w:val="0037038E"/>
    <w:rsid w:val="00370684"/>
    <w:rsid w:val="003707BC"/>
    <w:rsid w:val="003712C0"/>
    <w:rsid w:val="003726F3"/>
    <w:rsid w:val="00373594"/>
    <w:rsid w:val="0037374A"/>
    <w:rsid w:val="00375393"/>
    <w:rsid w:val="00375A73"/>
    <w:rsid w:val="00375C6B"/>
    <w:rsid w:val="00375FFA"/>
    <w:rsid w:val="00376A72"/>
    <w:rsid w:val="00376EDD"/>
    <w:rsid w:val="0038060E"/>
    <w:rsid w:val="00381108"/>
    <w:rsid w:val="00382DD0"/>
    <w:rsid w:val="00387FE6"/>
    <w:rsid w:val="00390651"/>
    <w:rsid w:val="00390B17"/>
    <w:rsid w:val="003929CD"/>
    <w:rsid w:val="00394BC2"/>
    <w:rsid w:val="00397908"/>
    <w:rsid w:val="003A075E"/>
    <w:rsid w:val="003A07EA"/>
    <w:rsid w:val="003A0874"/>
    <w:rsid w:val="003A091C"/>
    <w:rsid w:val="003A20AE"/>
    <w:rsid w:val="003A3A8C"/>
    <w:rsid w:val="003A42E9"/>
    <w:rsid w:val="003B08BE"/>
    <w:rsid w:val="003B11AD"/>
    <w:rsid w:val="003B2785"/>
    <w:rsid w:val="003B4802"/>
    <w:rsid w:val="003B5331"/>
    <w:rsid w:val="003B63CD"/>
    <w:rsid w:val="003B68F6"/>
    <w:rsid w:val="003C0AC9"/>
    <w:rsid w:val="003C1F13"/>
    <w:rsid w:val="003C1F97"/>
    <w:rsid w:val="003C28D8"/>
    <w:rsid w:val="003C442E"/>
    <w:rsid w:val="003C4C80"/>
    <w:rsid w:val="003C5EE0"/>
    <w:rsid w:val="003C63DF"/>
    <w:rsid w:val="003D1484"/>
    <w:rsid w:val="003D2B5B"/>
    <w:rsid w:val="003D3FE7"/>
    <w:rsid w:val="003D4B97"/>
    <w:rsid w:val="003D609A"/>
    <w:rsid w:val="003E22A3"/>
    <w:rsid w:val="003E4F97"/>
    <w:rsid w:val="003E61DC"/>
    <w:rsid w:val="003E70F0"/>
    <w:rsid w:val="003F12ED"/>
    <w:rsid w:val="003F178D"/>
    <w:rsid w:val="003F444E"/>
    <w:rsid w:val="003F5436"/>
    <w:rsid w:val="003F7A74"/>
    <w:rsid w:val="003F7CF9"/>
    <w:rsid w:val="00400322"/>
    <w:rsid w:val="004009F4"/>
    <w:rsid w:val="0040156B"/>
    <w:rsid w:val="00402497"/>
    <w:rsid w:val="004034E3"/>
    <w:rsid w:val="00403892"/>
    <w:rsid w:val="00403D6D"/>
    <w:rsid w:val="00404CE1"/>
    <w:rsid w:val="0040577D"/>
    <w:rsid w:val="00405F2E"/>
    <w:rsid w:val="004064CD"/>
    <w:rsid w:val="00407C90"/>
    <w:rsid w:val="00407DC3"/>
    <w:rsid w:val="00410B68"/>
    <w:rsid w:val="004120F9"/>
    <w:rsid w:val="0041289F"/>
    <w:rsid w:val="004132B4"/>
    <w:rsid w:val="0041421D"/>
    <w:rsid w:val="00414722"/>
    <w:rsid w:val="00415C4E"/>
    <w:rsid w:val="004160BA"/>
    <w:rsid w:val="00420D56"/>
    <w:rsid w:val="0042519F"/>
    <w:rsid w:val="00425970"/>
    <w:rsid w:val="004268E3"/>
    <w:rsid w:val="004327BD"/>
    <w:rsid w:val="00433004"/>
    <w:rsid w:val="00434153"/>
    <w:rsid w:val="004354E2"/>
    <w:rsid w:val="00436521"/>
    <w:rsid w:val="004409B8"/>
    <w:rsid w:val="00440CF2"/>
    <w:rsid w:val="0044198D"/>
    <w:rsid w:val="00441AE1"/>
    <w:rsid w:val="00443E7B"/>
    <w:rsid w:val="00443FF9"/>
    <w:rsid w:val="00445286"/>
    <w:rsid w:val="00445743"/>
    <w:rsid w:val="004457D5"/>
    <w:rsid w:val="00445FDA"/>
    <w:rsid w:val="00447B6C"/>
    <w:rsid w:val="00447E2B"/>
    <w:rsid w:val="00452EF2"/>
    <w:rsid w:val="004543D8"/>
    <w:rsid w:val="00454837"/>
    <w:rsid w:val="00457FAA"/>
    <w:rsid w:val="004614A3"/>
    <w:rsid w:val="00461F5F"/>
    <w:rsid w:val="00461FDE"/>
    <w:rsid w:val="00465093"/>
    <w:rsid w:val="00465C4A"/>
    <w:rsid w:val="00465FCA"/>
    <w:rsid w:val="00466164"/>
    <w:rsid w:val="004663D1"/>
    <w:rsid w:val="0046747D"/>
    <w:rsid w:val="004702ED"/>
    <w:rsid w:val="0047063E"/>
    <w:rsid w:val="00471652"/>
    <w:rsid w:val="00472DAC"/>
    <w:rsid w:val="00473AF0"/>
    <w:rsid w:val="00475F8B"/>
    <w:rsid w:val="00476911"/>
    <w:rsid w:val="00477494"/>
    <w:rsid w:val="004817FD"/>
    <w:rsid w:val="00481BB1"/>
    <w:rsid w:val="00482560"/>
    <w:rsid w:val="00483F33"/>
    <w:rsid w:val="00485882"/>
    <w:rsid w:val="004868F8"/>
    <w:rsid w:val="00486CC6"/>
    <w:rsid w:val="004874E4"/>
    <w:rsid w:val="00487CF0"/>
    <w:rsid w:val="00487D51"/>
    <w:rsid w:val="00487FF9"/>
    <w:rsid w:val="004920A4"/>
    <w:rsid w:val="00494D85"/>
    <w:rsid w:val="00495F44"/>
    <w:rsid w:val="004A0854"/>
    <w:rsid w:val="004A1B29"/>
    <w:rsid w:val="004A2270"/>
    <w:rsid w:val="004A4CD7"/>
    <w:rsid w:val="004A5656"/>
    <w:rsid w:val="004A592C"/>
    <w:rsid w:val="004A64F0"/>
    <w:rsid w:val="004A6819"/>
    <w:rsid w:val="004A70D9"/>
    <w:rsid w:val="004B1427"/>
    <w:rsid w:val="004C0BD7"/>
    <w:rsid w:val="004C4079"/>
    <w:rsid w:val="004C44CC"/>
    <w:rsid w:val="004C4DAD"/>
    <w:rsid w:val="004C4ECA"/>
    <w:rsid w:val="004C605A"/>
    <w:rsid w:val="004C7F93"/>
    <w:rsid w:val="004D0F0A"/>
    <w:rsid w:val="004D2C15"/>
    <w:rsid w:val="004D3706"/>
    <w:rsid w:val="004D46B0"/>
    <w:rsid w:val="004D4C24"/>
    <w:rsid w:val="004D5359"/>
    <w:rsid w:val="004D64FA"/>
    <w:rsid w:val="004D6514"/>
    <w:rsid w:val="004D7931"/>
    <w:rsid w:val="004D7CCD"/>
    <w:rsid w:val="004E05A9"/>
    <w:rsid w:val="004E06B2"/>
    <w:rsid w:val="004E0A3B"/>
    <w:rsid w:val="004E3978"/>
    <w:rsid w:val="004E563F"/>
    <w:rsid w:val="004E5ACC"/>
    <w:rsid w:val="004F2D50"/>
    <w:rsid w:val="004F2DF2"/>
    <w:rsid w:val="004F47D2"/>
    <w:rsid w:val="004F53EE"/>
    <w:rsid w:val="004F5724"/>
    <w:rsid w:val="004F6E21"/>
    <w:rsid w:val="004F6F0F"/>
    <w:rsid w:val="004F7A37"/>
    <w:rsid w:val="00501528"/>
    <w:rsid w:val="00501BA9"/>
    <w:rsid w:val="00502B21"/>
    <w:rsid w:val="005050DC"/>
    <w:rsid w:val="00505155"/>
    <w:rsid w:val="005055BD"/>
    <w:rsid w:val="005074CB"/>
    <w:rsid w:val="00512DA5"/>
    <w:rsid w:val="0051340C"/>
    <w:rsid w:val="00514C4E"/>
    <w:rsid w:val="00516833"/>
    <w:rsid w:val="00516D7C"/>
    <w:rsid w:val="00516DBC"/>
    <w:rsid w:val="0052037A"/>
    <w:rsid w:val="00520BBF"/>
    <w:rsid w:val="00521159"/>
    <w:rsid w:val="00522AAC"/>
    <w:rsid w:val="0052558F"/>
    <w:rsid w:val="00527E51"/>
    <w:rsid w:val="0053022A"/>
    <w:rsid w:val="00531182"/>
    <w:rsid w:val="005312D7"/>
    <w:rsid w:val="00532972"/>
    <w:rsid w:val="00533DA6"/>
    <w:rsid w:val="00534041"/>
    <w:rsid w:val="00535DB4"/>
    <w:rsid w:val="00537FF9"/>
    <w:rsid w:val="00540D5E"/>
    <w:rsid w:val="00543926"/>
    <w:rsid w:val="00547C90"/>
    <w:rsid w:val="005538E9"/>
    <w:rsid w:val="005550F8"/>
    <w:rsid w:val="00556BF4"/>
    <w:rsid w:val="005577F2"/>
    <w:rsid w:val="005623CB"/>
    <w:rsid w:val="005628D1"/>
    <w:rsid w:val="0056291B"/>
    <w:rsid w:val="00562B36"/>
    <w:rsid w:val="00562B4C"/>
    <w:rsid w:val="00563392"/>
    <w:rsid w:val="00563400"/>
    <w:rsid w:val="0056478C"/>
    <w:rsid w:val="00564C64"/>
    <w:rsid w:val="00564EDC"/>
    <w:rsid w:val="005660B3"/>
    <w:rsid w:val="0057090F"/>
    <w:rsid w:val="00570B51"/>
    <w:rsid w:val="00571109"/>
    <w:rsid w:val="0057259E"/>
    <w:rsid w:val="005734FC"/>
    <w:rsid w:val="005735DE"/>
    <w:rsid w:val="00575957"/>
    <w:rsid w:val="00582AEE"/>
    <w:rsid w:val="0058315A"/>
    <w:rsid w:val="00583DBE"/>
    <w:rsid w:val="00585588"/>
    <w:rsid w:val="00585FA7"/>
    <w:rsid w:val="00590B3D"/>
    <w:rsid w:val="005912F8"/>
    <w:rsid w:val="005944CF"/>
    <w:rsid w:val="005947E2"/>
    <w:rsid w:val="005958C6"/>
    <w:rsid w:val="00595E58"/>
    <w:rsid w:val="005971F3"/>
    <w:rsid w:val="0059728D"/>
    <w:rsid w:val="005A02BB"/>
    <w:rsid w:val="005A0C52"/>
    <w:rsid w:val="005A2F8F"/>
    <w:rsid w:val="005A5688"/>
    <w:rsid w:val="005A5AE2"/>
    <w:rsid w:val="005A69F2"/>
    <w:rsid w:val="005A7C1E"/>
    <w:rsid w:val="005A7FCD"/>
    <w:rsid w:val="005B15E6"/>
    <w:rsid w:val="005B160A"/>
    <w:rsid w:val="005B1D2B"/>
    <w:rsid w:val="005B212C"/>
    <w:rsid w:val="005B6035"/>
    <w:rsid w:val="005B6568"/>
    <w:rsid w:val="005C35D9"/>
    <w:rsid w:val="005C3771"/>
    <w:rsid w:val="005C3867"/>
    <w:rsid w:val="005C4E0C"/>
    <w:rsid w:val="005C5F8B"/>
    <w:rsid w:val="005D01E9"/>
    <w:rsid w:val="005D16ED"/>
    <w:rsid w:val="005D2169"/>
    <w:rsid w:val="005D45DF"/>
    <w:rsid w:val="005D59B3"/>
    <w:rsid w:val="005D6A41"/>
    <w:rsid w:val="005D7A02"/>
    <w:rsid w:val="005E2AD0"/>
    <w:rsid w:val="005E39E8"/>
    <w:rsid w:val="005E4230"/>
    <w:rsid w:val="005E4938"/>
    <w:rsid w:val="005E6685"/>
    <w:rsid w:val="005E6F6C"/>
    <w:rsid w:val="005F07F0"/>
    <w:rsid w:val="005F0C6F"/>
    <w:rsid w:val="005F1889"/>
    <w:rsid w:val="005F40E1"/>
    <w:rsid w:val="005F44A1"/>
    <w:rsid w:val="005F5DBD"/>
    <w:rsid w:val="00600526"/>
    <w:rsid w:val="006014F5"/>
    <w:rsid w:val="006026AF"/>
    <w:rsid w:val="00605633"/>
    <w:rsid w:val="00606790"/>
    <w:rsid w:val="006109EC"/>
    <w:rsid w:val="00610C81"/>
    <w:rsid w:val="00612A11"/>
    <w:rsid w:val="00612AA8"/>
    <w:rsid w:val="006132D2"/>
    <w:rsid w:val="00613471"/>
    <w:rsid w:val="006144D1"/>
    <w:rsid w:val="006150B0"/>
    <w:rsid w:val="00615F54"/>
    <w:rsid w:val="006171C9"/>
    <w:rsid w:val="0061774E"/>
    <w:rsid w:val="006205F6"/>
    <w:rsid w:val="006210F5"/>
    <w:rsid w:val="00622356"/>
    <w:rsid w:val="00624F5A"/>
    <w:rsid w:val="006250AF"/>
    <w:rsid w:val="00630834"/>
    <w:rsid w:val="00632349"/>
    <w:rsid w:val="00634A23"/>
    <w:rsid w:val="00635634"/>
    <w:rsid w:val="00635681"/>
    <w:rsid w:val="00635F51"/>
    <w:rsid w:val="0063605D"/>
    <w:rsid w:val="00636C2F"/>
    <w:rsid w:val="00637FFA"/>
    <w:rsid w:val="006407CC"/>
    <w:rsid w:val="00640C04"/>
    <w:rsid w:val="00640E53"/>
    <w:rsid w:val="00641EE1"/>
    <w:rsid w:val="006420D1"/>
    <w:rsid w:val="00644CE2"/>
    <w:rsid w:val="00645FAC"/>
    <w:rsid w:val="00646F1C"/>
    <w:rsid w:val="00647D10"/>
    <w:rsid w:val="00651716"/>
    <w:rsid w:val="00654211"/>
    <w:rsid w:val="006556BE"/>
    <w:rsid w:val="0066228E"/>
    <w:rsid w:val="00662FCF"/>
    <w:rsid w:val="00663FC8"/>
    <w:rsid w:val="00664773"/>
    <w:rsid w:val="0066530E"/>
    <w:rsid w:val="006657FA"/>
    <w:rsid w:val="0067014A"/>
    <w:rsid w:val="00670387"/>
    <w:rsid w:val="0067219A"/>
    <w:rsid w:val="00673ACA"/>
    <w:rsid w:val="006748E3"/>
    <w:rsid w:val="00674E47"/>
    <w:rsid w:val="0067570E"/>
    <w:rsid w:val="00682068"/>
    <w:rsid w:val="006828DC"/>
    <w:rsid w:val="00682ADA"/>
    <w:rsid w:val="0068522C"/>
    <w:rsid w:val="0068563E"/>
    <w:rsid w:val="00685918"/>
    <w:rsid w:val="00685BE1"/>
    <w:rsid w:val="00685F84"/>
    <w:rsid w:val="00687130"/>
    <w:rsid w:val="006871CE"/>
    <w:rsid w:val="0069118C"/>
    <w:rsid w:val="00691DD0"/>
    <w:rsid w:val="00692A7B"/>
    <w:rsid w:val="00693955"/>
    <w:rsid w:val="00693C82"/>
    <w:rsid w:val="00695FF0"/>
    <w:rsid w:val="00696314"/>
    <w:rsid w:val="00697A54"/>
    <w:rsid w:val="006A26EC"/>
    <w:rsid w:val="006A2CB7"/>
    <w:rsid w:val="006A36AB"/>
    <w:rsid w:val="006A746C"/>
    <w:rsid w:val="006B14B3"/>
    <w:rsid w:val="006B19F6"/>
    <w:rsid w:val="006B2240"/>
    <w:rsid w:val="006B2352"/>
    <w:rsid w:val="006B3713"/>
    <w:rsid w:val="006B5A70"/>
    <w:rsid w:val="006B5D0D"/>
    <w:rsid w:val="006B5D27"/>
    <w:rsid w:val="006C166B"/>
    <w:rsid w:val="006C2E42"/>
    <w:rsid w:val="006C322C"/>
    <w:rsid w:val="006C413A"/>
    <w:rsid w:val="006C4F3C"/>
    <w:rsid w:val="006C642B"/>
    <w:rsid w:val="006C6EF6"/>
    <w:rsid w:val="006D0015"/>
    <w:rsid w:val="006D0B30"/>
    <w:rsid w:val="006D0C22"/>
    <w:rsid w:val="006D1A0A"/>
    <w:rsid w:val="006D34C3"/>
    <w:rsid w:val="006D465C"/>
    <w:rsid w:val="006D6263"/>
    <w:rsid w:val="006D77B2"/>
    <w:rsid w:val="006E09B8"/>
    <w:rsid w:val="006E0B9E"/>
    <w:rsid w:val="006E15D7"/>
    <w:rsid w:val="006E1763"/>
    <w:rsid w:val="006E28A7"/>
    <w:rsid w:val="006E401E"/>
    <w:rsid w:val="006E6088"/>
    <w:rsid w:val="006E6A61"/>
    <w:rsid w:val="006E6D9E"/>
    <w:rsid w:val="006E6F9D"/>
    <w:rsid w:val="006E7070"/>
    <w:rsid w:val="006E7536"/>
    <w:rsid w:val="006F3883"/>
    <w:rsid w:val="006F6F34"/>
    <w:rsid w:val="00700920"/>
    <w:rsid w:val="00702FBE"/>
    <w:rsid w:val="0070462D"/>
    <w:rsid w:val="0070656A"/>
    <w:rsid w:val="00707FD4"/>
    <w:rsid w:val="00710A21"/>
    <w:rsid w:val="00710AFA"/>
    <w:rsid w:val="00711C59"/>
    <w:rsid w:val="00717E25"/>
    <w:rsid w:val="00717E55"/>
    <w:rsid w:val="00717F22"/>
    <w:rsid w:val="00720B0D"/>
    <w:rsid w:val="00720CE1"/>
    <w:rsid w:val="00721646"/>
    <w:rsid w:val="00722FF9"/>
    <w:rsid w:val="007232BA"/>
    <w:rsid w:val="00723EF6"/>
    <w:rsid w:val="00724423"/>
    <w:rsid w:val="00727538"/>
    <w:rsid w:val="00727B21"/>
    <w:rsid w:val="007301F9"/>
    <w:rsid w:val="00731A79"/>
    <w:rsid w:val="00733C78"/>
    <w:rsid w:val="00734F43"/>
    <w:rsid w:val="00735A70"/>
    <w:rsid w:val="00735CA3"/>
    <w:rsid w:val="00735E50"/>
    <w:rsid w:val="00735E56"/>
    <w:rsid w:val="00736D3B"/>
    <w:rsid w:val="00741255"/>
    <w:rsid w:val="007417A4"/>
    <w:rsid w:val="00741989"/>
    <w:rsid w:val="007434D2"/>
    <w:rsid w:val="00743FC9"/>
    <w:rsid w:val="00747795"/>
    <w:rsid w:val="00750EE5"/>
    <w:rsid w:val="007511F5"/>
    <w:rsid w:val="00752647"/>
    <w:rsid w:val="00752896"/>
    <w:rsid w:val="007528B8"/>
    <w:rsid w:val="00752C7E"/>
    <w:rsid w:val="00754E01"/>
    <w:rsid w:val="00754EC4"/>
    <w:rsid w:val="00755DDF"/>
    <w:rsid w:val="00757400"/>
    <w:rsid w:val="00757FA3"/>
    <w:rsid w:val="007628A6"/>
    <w:rsid w:val="00763600"/>
    <w:rsid w:val="00763F17"/>
    <w:rsid w:val="00764D06"/>
    <w:rsid w:val="00767179"/>
    <w:rsid w:val="00767674"/>
    <w:rsid w:val="00770033"/>
    <w:rsid w:val="00770291"/>
    <w:rsid w:val="0077279D"/>
    <w:rsid w:val="0077290F"/>
    <w:rsid w:val="00775253"/>
    <w:rsid w:val="00775F62"/>
    <w:rsid w:val="00776640"/>
    <w:rsid w:val="00777BB2"/>
    <w:rsid w:val="00781083"/>
    <w:rsid w:val="00783331"/>
    <w:rsid w:val="007844BA"/>
    <w:rsid w:val="00785D2E"/>
    <w:rsid w:val="00785ECA"/>
    <w:rsid w:val="00785F83"/>
    <w:rsid w:val="007878CB"/>
    <w:rsid w:val="00791A7F"/>
    <w:rsid w:val="00792083"/>
    <w:rsid w:val="00792F11"/>
    <w:rsid w:val="007931EE"/>
    <w:rsid w:val="0079410B"/>
    <w:rsid w:val="0079494D"/>
    <w:rsid w:val="007957CD"/>
    <w:rsid w:val="007970E1"/>
    <w:rsid w:val="0079734F"/>
    <w:rsid w:val="007A03A7"/>
    <w:rsid w:val="007A06B3"/>
    <w:rsid w:val="007A0FD1"/>
    <w:rsid w:val="007A1620"/>
    <w:rsid w:val="007A42B6"/>
    <w:rsid w:val="007A5A7E"/>
    <w:rsid w:val="007A5C60"/>
    <w:rsid w:val="007A7DF7"/>
    <w:rsid w:val="007A7FE6"/>
    <w:rsid w:val="007B2033"/>
    <w:rsid w:val="007B2C71"/>
    <w:rsid w:val="007B46D7"/>
    <w:rsid w:val="007B5A58"/>
    <w:rsid w:val="007B737E"/>
    <w:rsid w:val="007C0CB4"/>
    <w:rsid w:val="007C1CF2"/>
    <w:rsid w:val="007C1D96"/>
    <w:rsid w:val="007C215E"/>
    <w:rsid w:val="007C348F"/>
    <w:rsid w:val="007C3D03"/>
    <w:rsid w:val="007C4D77"/>
    <w:rsid w:val="007C72FF"/>
    <w:rsid w:val="007D20EE"/>
    <w:rsid w:val="007D2381"/>
    <w:rsid w:val="007D5914"/>
    <w:rsid w:val="007D5A3E"/>
    <w:rsid w:val="007D5ECA"/>
    <w:rsid w:val="007E0178"/>
    <w:rsid w:val="007E10BF"/>
    <w:rsid w:val="007E359E"/>
    <w:rsid w:val="007E3D66"/>
    <w:rsid w:val="007E5396"/>
    <w:rsid w:val="007E5D4D"/>
    <w:rsid w:val="007E70EE"/>
    <w:rsid w:val="007F01F5"/>
    <w:rsid w:val="007F02DE"/>
    <w:rsid w:val="007F07A2"/>
    <w:rsid w:val="007F0812"/>
    <w:rsid w:val="007F095F"/>
    <w:rsid w:val="007F21AB"/>
    <w:rsid w:val="007F333F"/>
    <w:rsid w:val="007F4888"/>
    <w:rsid w:val="007F5105"/>
    <w:rsid w:val="007F7529"/>
    <w:rsid w:val="0080123C"/>
    <w:rsid w:val="008023CE"/>
    <w:rsid w:val="00805E50"/>
    <w:rsid w:val="00811A99"/>
    <w:rsid w:val="00812161"/>
    <w:rsid w:val="00812BBA"/>
    <w:rsid w:val="00812E53"/>
    <w:rsid w:val="008138E8"/>
    <w:rsid w:val="00815462"/>
    <w:rsid w:val="00815B87"/>
    <w:rsid w:val="008166A0"/>
    <w:rsid w:val="008177A7"/>
    <w:rsid w:val="00820D24"/>
    <w:rsid w:val="00821695"/>
    <w:rsid w:val="00823C50"/>
    <w:rsid w:val="008255BB"/>
    <w:rsid w:val="0082563C"/>
    <w:rsid w:val="00826884"/>
    <w:rsid w:val="00827237"/>
    <w:rsid w:val="008273B5"/>
    <w:rsid w:val="00827890"/>
    <w:rsid w:val="00827BDD"/>
    <w:rsid w:val="0083048D"/>
    <w:rsid w:val="00833B76"/>
    <w:rsid w:val="0083426D"/>
    <w:rsid w:val="00834C2C"/>
    <w:rsid w:val="008364A2"/>
    <w:rsid w:val="00837637"/>
    <w:rsid w:val="00837750"/>
    <w:rsid w:val="00841342"/>
    <w:rsid w:val="0084356F"/>
    <w:rsid w:val="00843CF9"/>
    <w:rsid w:val="008457FA"/>
    <w:rsid w:val="00845E43"/>
    <w:rsid w:val="00846B34"/>
    <w:rsid w:val="00850917"/>
    <w:rsid w:val="00851741"/>
    <w:rsid w:val="008533FA"/>
    <w:rsid w:val="0085369D"/>
    <w:rsid w:val="008552C6"/>
    <w:rsid w:val="008568B3"/>
    <w:rsid w:val="00856CFF"/>
    <w:rsid w:val="00856F85"/>
    <w:rsid w:val="0085783A"/>
    <w:rsid w:val="008620F0"/>
    <w:rsid w:val="00862E48"/>
    <w:rsid w:val="0086327F"/>
    <w:rsid w:val="00863764"/>
    <w:rsid w:val="00863AD8"/>
    <w:rsid w:val="008644E0"/>
    <w:rsid w:val="00865565"/>
    <w:rsid w:val="0086574D"/>
    <w:rsid w:val="0086734D"/>
    <w:rsid w:val="00871BF3"/>
    <w:rsid w:val="00871E9F"/>
    <w:rsid w:val="00872199"/>
    <w:rsid w:val="008727E7"/>
    <w:rsid w:val="008730DD"/>
    <w:rsid w:val="0087350B"/>
    <w:rsid w:val="008744FF"/>
    <w:rsid w:val="00874D41"/>
    <w:rsid w:val="00875F92"/>
    <w:rsid w:val="00877593"/>
    <w:rsid w:val="00877715"/>
    <w:rsid w:val="008808A3"/>
    <w:rsid w:val="008819CC"/>
    <w:rsid w:val="0088223D"/>
    <w:rsid w:val="00884105"/>
    <w:rsid w:val="00886456"/>
    <w:rsid w:val="00886A9E"/>
    <w:rsid w:val="00887B95"/>
    <w:rsid w:val="00887CA0"/>
    <w:rsid w:val="00891145"/>
    <w:rsid w:val="008919DD"/>
    <w:rsid w:val="00891CE7"/>
    <w:rsid w:val="00892A3F"/>
    <w:rsid w:val="008934D9"/>
    <w:rsid w:val="00893C60"/>
    <w:rsid w:val="00893E15"/>
    <w:rsid w:val="00894746"/>
    <w:rsid w:val="00894E59"/>
    <w:rsid w:val="00895CF7"/>
    <w:rsid w:val="00896645"/>
    <w:rsid w:val="008970BE"/>
    <w:rsid w:val="00897853"/>
    <w:rsid w:val="00897E98"/>
    <w:rsid w:val="008A1A8C"/>
    <w:rsid w:val="008A37CF"/>
    <w:rsid w:val="008A4A0D"/>
    <w:rsid w:val="008A6B66"/>
    <w:rsid w:val="008B1C57"/>
    <w:rsid w:val="008B2966"/>
    <w:rsid w:val="008B2DEB"/>
    <w:rsid w:val="008B6D2D"/>
    <w:rsid w:val="008B6E89"/>
    <w:rsid w:val="008B7597"/>
    <w:rsid w:val="008B7AA2"/>
    <w:rsid w:val="008C181F"/>
    <w:rsid w:val="008C28A1"/>
    <w:rsid w:val="008C2E31"/>
    <w:rsid w:val="008C358B"/>
    <w:rsid w:val="008C3921"/>
    <w:rsid w:val="008C4BB1"/>
    <w:rsid w:val="008C5063"/>
    <w:rsid w:val="008C5FA0"/>
    <w:rsid w:val="008C66A5"/>
    <w:rsid w:val="008C6A45"/>
    <w:rsid w:val="008C74C7"/>
    <w:rsid w:val="008C782C"/>
    <w:rsid w:val="008D0548"/>
    <w:rsid w:val="008D256A"/>
    <w:rsid w:val="008D2674"/>
    <w:rsid w:val="008D2A5D"/>
    <w:rsid w:val="008D710D"/>
    <w:rsid w:val="008E10EA"/>
    <w:rsid w:val="008E2DD2"/>
    <w:rsid w:val="008E3668"/>
    <w:rsid w:val="008E47D1"/>
    <w:rsid w:val="008E508F"/>
    <w:rsid w:val="008E58A5"/>
    <w:rsid w:val="008E74AC"/>
    <w:rsid w:val="008E74AE"/>
    <w:rsid w:val="008E7A0D"/>
    <w:rsid w:val="008F0D4E"/>
    <w:rsid w:val="008F10E9"/>
    <w:rsid w:val="008F1123"/>
    <w:rsid w:val="008F16E8"/>
    <w:rsid w:val="008F250B"/>
    <w:rsid w:val="008F5359"/>
    <w:rsid w:val="008F5BF5"/>
    <w:rsid w:val="008F5CE7"/>
    <w:rsid w:val="008F68DB"/>
    <w:rsid w:val="008F68E8"/>
    <w:rsid w:val="008F69BD"/>
    <w:rsid w:val="008F7180"/>
    <w:rsid w:val="00900CC2"/>
    <w:rsid w:val="00903481"/>
    <w:rsid w:val="00905303"/>
    <w:rsid w:val="009065AE"/>
    <w:rsid w:val="0090667B"/>
    <w:rsid w:val="00906DAC"/>
    <w:rsid w:val="0090721D"/>
    <w:rsid w:val="0091091D"/>
    <w:rsid w:val="00912929"/>
    <w:rsid w:val="009145CC"/>
    <w:rsid w:val="00914B4D"/>
    <w:rsid w:val="00914BF1"/>
    <w:rsid w:val="00915F98"/>
    <w:rsid w:val="00916919"/>
    <w:rsid w:val="00916E57"/>
    <w:rsid w:val="00917B9D"/>
    <w:rsid w:val="00917F10"/>
    <w:rsid w:val="00920FB4"/>
    <w:rsid w:val="009211EF"/>
    <w:rsid w:val="00922AF1"/>
    <w:rsid w:val="0092433E"/>
    <w:rsid w:val="00924ECF"/>
    <w:rsid w:val="00926626"/>
    <w:rsid w:val="009309B0"/>
    <w:rsid w:val="00933202"/>
    <w:rsid w:val="009334A0"/>
    <w:rsid w:val="00933721"/>
    <w:rsid w:val="0093509F"/>
    <w:rsid w:val="009355A5"/>
    <w:rsid w:val="00937DF1"/>
    <w:rsid w:val="009403E3"/>
    <w:rsid w:val="00941826"/>
    <w:rsid w:val="009423AB"/>
    <w:rsid w:val="00942E9E"/>
    <w:rsid w:val="00943638"/>
    <w:rsid w:val="00943905"/>
    <w:rsid w:val="00944F19"/>
    <w:rsid w:val="0094569E"/>
    <w:rsid w:val="009564CE"/>
    <w:rsid w:val="00960B8F"/>
    <w:rsid w:val="00961FE0"/>
    <w:rsid w:val="00962A46"/>
    <w:rsid w:val="009634B2"/>
    <w:rsid w:val="00963582"/>
    <w:rsid w:val="00963853"/>
    <w:rsid w:val="0096444C"/>
    <w:rsid w:val="0096491F"/>
    <w:rsid w:val="00964AA4"/>
    <w:rsid w:val="00967065"/>
    <w:rsid w:val="00967D22"/>
    <w:rsid w:val="00970774"/>
    <w:rsid w:val="009725B8"/>
    <w:rsid w:val="0097543E"/>
    <w:rsid w:val="0097572E"/>
    <w:rsid w:val="009757B4"/>
    <w:rsid w:val="009773BD"/>
    <w:rsid w:val="009777EC"/>
    <w:rsid w:val="0098183B"/>
    <w:rsid w:val="009826EE"/>
    <w:rsid w:val="00982899"/>
    <w:rsid w:val="00984841"/>
    <w:rsid w:val="00984E5A"/>
    <w:rsid w:val="00985181"/>
    <w:rsid w:val="00985184"/>
    <w:rsid w:val="00985AB2"/>
    <w:rsid w:val="0099085B"/>
    <w:rsid w:val="00990AEC"/>
    <w:rsid w:val="00991B5A"/>
    <w:rsid w:val="00992935"/>
    <w:rsid w:val="009945C6"/>
    <w:rsid w:val="009947D8"/>
    <w:rsid w:val="009953E2"/>
    <w:rsid w:val="00996051"/>
    <w:rsid w:val="00996621"/>
    <w:rsid w:val="00996E6E"/>
    <w:rsid w:val="00997265"/>
    <w:rsid w:val="009975E4"/>
    <w:rsid w:val="009A0AF9"/>
    <w:rsid w:val="009A140B"/>
    <w:rsid w:val="009A2C3B"/>
    <w:rsid w:val="009A2E43"/>
    <w:rsid w:val="009A3B61"/>
    <w:rsid w:val="009A4315"/>
    <w:rsid w:val="009A491C"/>
    <w:rsid w:val="009A535B"/>
    <w:rsid w:val="009A5D1A"/>
    <w:rsid w:val="009A6593"/>
    <w:rsid w:val="009B0EC4"/>
    <w:rsid w:val="009B131A"/>
    <w:rsid w:val="009B19E1"/>
    <w:rsid w:val="009B2946"/>
    <w:rsid w:val="009B2A73"/>
    <w:rsid w:val="009B6DC8"/>
    <w:rsid w:val="009B6F3C"/>
    <w:rsid w:val="009C00BE"/>
    <w:rsid w:val="009C0572"/>
    <w:rsid w:val="009C0F25"/>
    <w:rsid w:val="009C178C"/>
    <w:rsid w:val="009C2362"/>
    <w:rsid w:val="009C3A20"/>
    <w:rsid w:val="009C4255"/>
    <w:rsid w:val="009C4B40"/>
    <w:rsid w:val="009C507C"/>
    <w:rsid w:val="009C5FFC"/>
    <w:rsid w:val="009C7E1B"/>
    <w:rsid w:val="009D166F"/>
    <w:rsid w:val="009D29C5"/>
    <w:rsid w:val="009D344C"/>
    <w:rsid w:val="009D3521"/>
    <w:rsid w:val="009D4F15"/>
    <w:rsid w:val="009D5234"/>
    <w:rsid w:val="009D5E1B"/>
    <w:rsid w:val="009D6886"/>
    <w:rsid w:val="009E078B"/>
    <w:rsid w:val="009E0A47"/>
    <w:rsid w:val="009E1D37"/>
    <w:rsid w:val="009E3097"/>
    <w:rsid w:val="009E34D9"/>
    <w:rsid w:val="009E5E1C"/>
    <w:rsid w:val="009F0292"/>
    <w:rsid w:val="009F1140"/>
    <w:rsid w:val="009F1D6A"/>
    <w:rsid w:val="009F20BE"/>
    <w:rsid w:val="009F225B"/>
    <w:rsid w:val="009F2591"/>
    <w:rsid w:val="009F336C"/>
    <w:rsid w:val="009F4DED"/>
    <w:rsid w:val="009F579A"/>
    <w:rsid w:val="009F606F"/>
    <w:rsid w:val="009F6554"/>
    <w:rsid w:val="009F6B8D"/>
    <w:rsid w:val="00A015FA"/>
    <w:rsid w:val="00A02932"/>
    <w:rsid w:val="00A029FE"/>
    <w:rsid w:val="00A034A6"/>
    <w:rsid w:val="00A06966"/>
    <w:rsid w:val="00A06DA1"/>
    <w:rsid w:val="00A13EAB"/>
    <w:rsid w:val="00A1541E"/>
    <w:rsid w:val="00A1781B"/>
    <w:rsid w:val="00A23983"/>
    <w:rsid w:val="00A242E8"/>
    <w:rsid w:val="00A25977"/>
    <w:rsid w:val="00A2670B"/>
    <w:rsid w:val="00A32775"/>
    <w:rsid w:val="00A33AD0"/>
    <w:rsid w:val="00A3441E"/>
    <w:rsid w:val="00A3515E"/>
    <w:rsid w:val="00A35B4B"/>
    <w:rsid w:val="00A36B5C"/>
    <w:rsid w:val="00A370C8"/>
    <w:rsid w:val="00A432E3"/>
    <w:rsid w:val="00A459A5"/>
    <w:rsid w:val="00A45C3F"/>
    <w:rsid w:val="00A47DDF"/>
    <w:rsid w:val="00A47FA5"/>
    <w:rsid w:val="00A5048A"/>
    <w:rsid w:val="00A51298"/>
    <w:rsid w:val="00A51F88"/>
    <w:rsid w:val="00A53618"/>
    <w:rsid w:val="00A53CDD"/>
    <w:rsid w:val="00A53D13"/>
    <w:rsid w:val="00A5428A"/>
    <w:rsid w:val="00A54EF6"/>
    <w:rsid w:val="00A55687"/>
    <w:rsid w:val="00A56912"/>
    <w:rsid w:val="00A56A2C"/>
    <w:rsid w:val="00A56E5A"/>
    <w:rsid w:val="00A6058A"/>
    <w:rsid w:val="00A608B8"/>
    <w:rsid w:val="00A62057"/>
    <w:rsid w:val="00A63856"/>
    <w:rsid w:val="00A648E2"/>
    <w:rsid w:val="00A672B6"/>
    <w:rsid w:val="00A673E5"/>
    <w:rsid w:val="00A676B2"/>
    <w:rsid w:val="00A7287B"/>
    <w:rsid w:val="00A72904"/>
    <w:rsid w:val="00A7451E"/>
    <w:rsid w:val="00A74C10"/>
    <w:rsid w:val="00A7522A"/>
    <w:rsid w:val="00A76210"/>
    <w:rsid w:val="00A76265"/>
    <w:rsid w:val="00A77B8A"/>
    <w:rsid w:val="00A807BE"/>
    <w:rsid w:val="00A80C3D"/>
    <w:rsid w:val="00A812C9"/>
    <w:rsid w:val="00A81C50"/>
    <w:rsid w:val="00A82816"/>
    <w:rsid w:val="00A83339"/>
    <w:rsid w:val="00A84608"/>
    <w:rsid w:val="00A86669"/>
    <w:rsid w:val="00A86B3B"/>
    <w:rsid w:val="00A87C4F"/>
    <w:rsid w:val="00A9013B"/>
    <w:rsid w:val="00A914BF"/>
    <w:rsid w:val="00A918A0"/>
    <w:rsid w:val="00A91D21"/>
    <w:rsid w:val="00A93ED0"/>
    <w:rsid w:val="00A93FD2"/>
    <w:rsid w:val="00A95095"/>
    <w:rsid w:val="00A95F72"/>
    <w:rsid w:val="00A97118"/>
    <w:rsid w:val="00A9731B"/>
    <w:rsid w:val="00AA4085"/>
    <w:rsid w:val="00AA462F"/>
    <w:rsid w:val="00AA50F8"/>
    <w:rsid w:val="00AA541F"/>
    <w:rsid w:val="00AA5AB9"/>
    <w:rsid w:val="00AB1444"/>
    <w:rsid w:val="00AB1875"/>
    <w:rsid w:val="00AB26DB"/>
    <w:rsid w:val="00AB2AB1"/>
    <w:rsid w:val="00AB3040"/>
    <w:rsid w:val="00AB3137"/>
    <w:rsid w:val="00AB3517"/>
    <w:rsid w:val="00AB5F19"/>
    <w:rsid w:val="00AB7869"/>
    <w:rsid w:val="00AB7D77"/>
    <w:rsid w:val="00AC0B70"/>
    <w:rsid w:val="00AC27B2"/>
    <w:rsid w:val="00AC4133"/>
    <w:rsid w:val="00AC4656"/>
    <w:rsid w:val="00AC6C37"/>
    <w:rsid w:val="00AC7047"/>
    <w:rsid w:val="00AC704F"/>
    <w:rsid w:val="00AD6F4E"/>
    <w:rsid w:val="00AD71C4"/>
    <w:rsid w:val="00AD7BBD"/>
    <w:rsid w:val="00AE0A3C"/>
    <w:rsid w:val="00AE1B7C"/>
    <w:rsid w:val="00AE1F42"/>
    <w:rsid w:val="00AE3EE8"/>
    <w:rsid w:val="00AE59CE"/>
    <w:rsid w:val="00AF07C1"/>
    <w:rsid w:val="00AF0DC2"/>
    <w:rsid w:val="00AF2607"/>
    <w:rsid w:val="00AF2DCE"/>
    <w:rsid w:val="00AF67F0"/>
    <w:rsid w:val="00AF7B21"/>
    <w:rsid w:val="00B006A3"/>
    <w:rsid w:val="00B006A5"/>
    <w:rsid w:val="00B01ACF"/>
    <w:rsid w:val="00B02BBD"/>
    <w:rsid w:val="00B042B4"/>
    <w:rsid w:val="00B046C4"/>
    <w:rsid w:val="00B0560A"/>
    <w:rsid w:val="00B05D07"/>
    <w:rsid w:val="00B12E74"/>
    <w:rsid w:val="00B13113"/>
    <w:rsid w:val="00B15581"/>
    <w:rsid w:val="00B159FB"/>
    <w:rsid w:val="00B169C2"/>
    <w:rsid w:val="00B16C7D"/>
    <w:rsid w:val="00B17135"/>
    <w:rsid w:val="00B22B5D"/>
    <w:rsid w:val="00B2408E"/>
    <w:rsid w:val="00B24234"/>
    <w:rsid w:val="00B24C14"/>
    <w:rsid w:val="00B2520E"/>
    <w:rsid w:val="00B25471"/>
    <w:rsid w:val="00B25CE5"/>
    <w:rsid w:val="00B26406"/>
    <w:rsid w:val="00B26D12"/>
    <w:rsid w:val="00B26D22"/>
    <w:rsid w:val="00B2725C"/>
    <w:rsid w:val="00B27F31"/>
    <w:rsid w:val="00B31B79"/>
    <w:rsid w:val="00B32CC7"/>
    <w:rsid w:val="00B33C23"/>
    <w:rsid w:val="00B360BD"/>
    <w:rsid w:val="00B40D2C"/>
    <w:rsid w:val="00B41512"/>
    <w:rsid w:val="00B4169B"/>
    <w:rsid w:val="00B43064"/>
    <w:rsid w:val="00B43078"/>
    <w:rsid w:val="00B43A28"/>
    <w:rsid w:val="00B4494C"/>
    <w:rsid w:val="00B44D3A"/>
    <w:rsid w:val="00B53D5E"/>
    <w:rsid w:val="00B54EE1"/>
    <w:rsid w:val="00B5661B"/>
    <w:rsid w:val="00B5668F"/>
    <w:rsid w:val="00B568B4"/>
    <w:rsid w:val="00B56C48"/>
    <w:rsid w:val="00B56CE3"/>
    <w:rsid w:val="00B56EC3"/>
    <w:rsid w:val="00B575BA"/>
    <w:rsid w:val="00B61557"/>
    <w:rsid w:val="00B61671"/>
    <w:rsid w:val="00B61FDE"/>
    <w:rsid w:val="00B65DC1"/>
    <w:rsid w:val="00B7320D"/>
    <w:rsid w:val="00B738F8"/>
    <w:rsid w:val="00B73CCA"/>
    <w:rsid w:val="00B75530"/>
    <w:rsid w:val="00B758CA"/>
    <w:rsid w:val="00B7689E"/>
    <w:rsid w:val="00B76B66"/>
    <w:rsid w:val="00B807DA"/>
    <w:rsid w:val="00B84423"/>
    <w:rsid w:val="00B85C03"/>
    <w:rsid w:val="00B90F9C"/>
    <w:rsid w:val="00B921F8"/>
    <w:rsid w:val="00B92686"/>
    <w:rsid w:val="00B933F8"/>
    <w:rsid w:val="00B938C3"/>
    <w:rsid w:val="00B93B6F"/>
    <w:rsid w:val="00B96B2D"/>
    <w:rsid w:val="00B979C2"/>
    <w:rsid w:val="00BA099D"/>
    <w:rsid w:val="00BA146D"/>
    <w:rsid w:val="00BA183E"/>
    <w:rsid w:val="00BA2F01"/>
    <w:rsid w:val="00BA36C4"/>
    <w:rsid w:val="00BA395B"/>
    <w:rsid w:val="00BA424F"/>
    <w:rsid w:val="00BB00C4"/>
    <w:rsid w:val="00BB2E2F"/>
    <w:rsid w:val="00BB410D"/>
    <w:rsid w:val="00BB4512"/>
    <w:rsid w:val="00BB4940"/>
    <w:rsid w:val="00BB553F"/>
    <w:rsid w:val="00BB67DF"/>
    <w:rsid w:val="00BC05B2"/>
    <w:rsid w:val="00BC1420"/>
    <w:rsid w:val="00BC338A"/>
    <w:rsid w:val="00BC4788"/>
    <w:rsid w:val="00BC4AE8"/>
    <w:rsid w:val="00BC58FE"/>
    <w:rsid w:val="00BC5B31"/>
    <w:rsid w:val="00BC5FCF"/>
    <w:rsid w:val="00BC60B5"/>
    <w:rsid w:val="00BC68B1"/>
    <w:rsid w:val="00BC777F"/>
    <w:rsid w:val="00BC7BE1"/>
    <w:rsid w:val="00BD018E"/>
    <w:rsid w:val="00BD0942"/>
    <w:rsid w:val="00BD19F8"/>
    <w:rsid w:val="00BD21E1"/>
    <w:rsid w:val="00BD2403"/>
    <w:rsid w:val="00BD314C"/>
    <w:rsid w:val="00BD3F0B"/>
    <w:rsid w:val="00BD5D65"/>
    <w:rsid w:val="00BD61EE"/>
    <w:rsid w:val="00BD624A"/>
    <w:rsid w:val="00BD63CC"/>
    <w:rsid w:val="00BD675A"/>
    <w:rsid w:val="00BE0915"/>
    <w:rsid w:val="00BE0F41"/>
    <w:rsid w:val="00BE1622"/>
    <w:rsid w:val="00BE37AC"/>
    <w:rsid w:val="00BE4D2E"/>
    <w:rsid w:val="00BE4D31"/>
    <w:rsid w:val="00BE5CD7"/>
    <w:rsid w:val="00BE702C"/>
    <w:rsid w:val="00BF086F"/>
    <w:rsid w:val="00BF0EC4"/>
    <w:rsid w:val="00BF19F9"/>
    <w:rsid w:val="00BF3267"/>
    <w:rsid w:val="00BF3941"/>
    <w:rsid w:val="00BF39DD"/>
    <w:rsid w:val="00BF41B8"/>
    <w:rsid w:val="00BF5067"/>
    <w:rsid w:val="00BF66F0"/>
    <w:rsid w:val="00C003C3"/>
    <w:rsid w:val="00C007F6"/>
    <w:rsid w:val="00C00B59"/>
    <w:rsid w:val="00C01AB7"/>
    <w:rsid w:val="00C01FBD"/>
    <w:rsid w:val="00C025D4"/>
    <w:rsid w:val="00C0284F"/>
    <w:rsid w:val="00C03932"/>
    <w:rsid w:val="00C03C01"/>
    <w:rsid w:val="00C03D30"/>
    <w:rsid w:val="00C05092"/>
    <w:rsid w:val="00C06F79"/>
    <w:rsid w:val="00C07680"/>
    <w:rsid w:val="00C076A5"/>
    <w:rsid w:val="00C07A17"/>
    <w:rsid w:val="00C107AC"/>
    <w:rsid w:val="00C109D4"/>
    <w:rsid w:val="00C11044"/>
    <w:rsid w:val="00C111CE"/>
    <w:rsid w:val="00C158F8"/>
    <w:rsid w:val="00C17654"/>
    <w:rsid w:val="00C196BD"/>
    <w:rsid w:val="00C21F11"/>
    <w:rsid w:val="00C2408F"/>
    <w:rsid w:val="00C300F8"/>
    <w:rsid w:val="00C335C1"/>
    <w:rsid w:val="00C35C63"/>
    <w:rsid w:val="00C36FF0"/>
    <w:rsid w:val="00C3729F"/>
    <w:rsid w:val="00C41FCE"/>
    <w:rsid w:val="00C4234C"/>
    <w:rsid w:val="00C42497"/>
    <w:rsid w:val="00C44B0D"/>
    <w:rsid w:val="00C47B9D"/>
    <w:rsid w:val="00C47E04"/>
    <w:rsid w:val="00C52C51"/>
    <w:rsid w:val="00C52F12"/>
    <w:rsid w:val="00C56DA5"/>
    <w:rsid w:val="00C62D27"/>
    <w:rsid w:val="00C62DCC"/>
    <w:rsid w:val="00C640FA"/>
    <w:rsid w:val="00C64B7D"/>
    <w:rsid w:val="00C6605C"/>
    <w:rsid w:val="00C6733D"/>
    <w:rsid w:val="00C71896"/>
    <w:rsid w:val="00C742CE"/>
    <w:rsid w:val="00C744E2"/>
    <w:rsid w:val="00C74978"/>
    <w:rsid w:val="00C759FB"/>
    <w:rsid w:val="00C76522"/>
    <w:rsid w:val="00C76D90"/>
    <w:rsid w:val="00C77370"/>
    <w:rsid w:val="00C80D5D"/>
    <w:rsid w:val="00C81396"/>
    <w:rsid w:val="00C859CD"/>
    <w:rsid w:val="00C8618C"/>
    <w:rsid w:val="00C87892"/>
    <w:rsid w:val="00C90912"/>
    <w:rsid w:val="00C90969"/>
    <w:rsid w:val="00C937FA"/>
    <w:rsid w:val="00C93EDE"/>
    <w:rsid w:val="00C95357"/>
    <w:rsid w:val="00C95688"/>
    <w:rsid w:val="00CA03F9"/>
    <w:rsid w:val="00CA081F"/>
    <w:rsid w:val="00CA1665"/>
    <w:rsid w:val="00CA1C31"/>
    <w:rsid w:val="00CA1FC6"/>
    <w:rsid w:val="00CA3381"/>
    <w:rsid w:val="00CA3694"/>
    <w:rsid w:val="00CA380E"/>
    <w:rsid w:val="00CA3F43"/>
    <w:rsid w:val="00CA4C7C"/>
    <w:rsid w:val="00CA748A"/>
    <w:rsid w:val="00CA7F54"/>
    <w:rsid w:val="00CB2708"/>
    <w:rsid w:val="00CB3148"/>
    <w:rsid w:val="00CB4015"/>
    <w:rsid w:val="00CB4B76"/>
    <w:rsid w:val="00CB4D78"/>
    <w:rsid w:val="00CB5F38"/>
    <w:rsid w:val="00CB6788"/>
    <w:rsid w:val="00CB7273"/>
    <w:rsid w:val="00CC0804"/>
    <w:rsid w:val="00CC0F0A"/>
    <w:rsid w:val="00CC130F"/>
    <w:rsid w:val="00CC19A9"/>
    <w:rsid w:val="00CC19FF"/>
    <w:rsid w:val="00CC1EFE"/>
    <w:rsid w:val="00CC5451"/>
    <w:rsid w:val="00CC54E7"/>
    <w:rsid w:val="00CC57D6"/>
    <w:rsid w:val="00CC5D48"/>
    <w:rsid w:val="00CC6D42"/>
    <w:rsid w:val="00CC73E1"/>
    <w:rsid w:val="00CD1220"/>
    <w:rsid w:val="00CD240F"/>
    <w:rsid w:val="00CD2DFD"/>
    <w:rsid w:val="00CD33D0"/>
    <w:rsid w:val="00CD35C4"/>
    <w:rsid w:val="00CD3C5B"/>
    <w:rsid w:val="00CD3CB8"/>
    <w:rsid w:val="00CD59CA"/>
    <w:rsid w:val="00CD5D30"/>
    <w:rsid w:val="00CD6438"/>
    <w:rsid w:val="00CD7295"/>
    <w:rsid w:val="00CE0950"/>
    <w:rsid w:val="00CE36C0"/>
    <w:rsid w:val="00CE6772"/>
    <w:rsid w:val="00CE7D93"/>
    <w:rsid w:val="00CF0BC0"/>
    <w:rsid w:val="00CF0F3B"/>
    <w:rsid w:val="00CF24E1"/>
    <w:rsid w:val="00CF3444"/>
    <w:rsid w:val="00CF36A1"/>
    <w:rsid w:val="00CF5E48"/>
    <w:rsid w:val="00CF6213"/>
    <w:rsid w:val="00CF7709"/>
    <w:rsid w:val="00D006BD"/>
    <w:rsid w:val="00D00E35"/>
    <w:rsid w:val="00D011BA"/>
    <w:rsid w:val="00D033B6"/>
    <w:rsid w:val="00D0392C"/>
    <w:rsid w:val="00D0407D"/>
    <w:rsid w:val="00D042A5"/>
    <w:rsid w:val="00D06E8A"/>
    <w:rsid w:val="00D07FD9"/>
    <w:rsid w:val="00D11A7E"/>
    <w:rsid w:val="00D13F06"/>
    <w:rsid w:val="00D165EA"/>
    <w:rsid w:val="00D20C5A"/>
    <w:rsid w:val="00D20EA7"/>
    <w:rsid w:val="00D21066"/>
    <w:rsid w:val="00D21A91"/>
    <w:rsid w:val="00D23E48"/>
    <w:rsid w:val="00D2681C"/>
    <w:rsid w:val="00D2681E"/>
    <w:rsid w:val="00D26BF8"/>
    <w:rsid w:val="00D27773"/>
    <w:rsid w:val="00D27835"/>
    <w:rsid w:val="00D32C63"/>
    <w:rsid w:val="00D3406B"/>
    <w:rsid w:val="00D34B24"/>
    <w:rsid w:val="00D42543"/>
    <w:rsid w:val="00D42B9F"/>
    <w:rsid w:val="00D454EC"/>
    <w:rsid w:val="00D45867"/>
    <w:rsid w:val="00D50630"/>
    <w:rsid w:val="00D50BE9"/>
    <w:rsid w:val="00D52669"/>
    <w:rsid w:val="00D556DF"/>
    <w:rsid w:val="00D56173"/>
    <w:rsid w:val="00D57B85"/>
    <w:rsid w:val="00D6009B"/>
    <w:rsid w:val="00D6481B"/>
    <w:rsid w:val="00D64A7C"/>
    <w:rsid w:val="00D64C0B"/>
    <w:rsid w:val="00D64D68"/>
    <w:rsid w:val="00D66525"/>
    <w:rsid w:val="00D668A6"/>
    <w:rsid w:val="00D67F74"/>
    <w:rsid w:val="00D707B7"/>
    <w:rsid w:val="00D70C39"/>
    <w:rsid w:val="00D71356"/>
    <w:rsid w:val="00D72DDD"/>
    <w:rsid w:val="00D74AE3"/>
    <w:rsid w:val="00D7548C"/>
    <w:rsid w:val="00D75F18"/>
    <w:rsid w:val="00D765BC"/>
    <w:rsid w:val="00D77D4B"/>
    <w:rsid w:val="00D807C8"/>
    <w:rsid w:val="00D810F0"/>
    <w:rsid w:val="00D84C34"/>
    <w:rsid w:val="00D851F0"/>
    <w:rsid w:val="00D94610"/>
    <w:rsid w:val="00D95D0B"/>
    <w:rsid w:val="00D95DFC"/>
    <w:rsid w:val="00D9640E"/>
    <w:rsid w:val="00D97EA6"/>
    <w:rsid w:val="00DA0623"/>
    <w:rsid w:val="00DA0777"/>
    <w:rsid w:val="00DA17D2"/>
    <w:rsid w:val="00DA214B"/>
    <w:rsid w:val="00DA2B8E"/>
    <w:rsid w:val="00DA405D"/>
    <w:rsid w:val="00DA4655"/>
    <w:rsid w:val="00DA4C9D"/>
    <w:rsid w:val="00DA5331"/>
    <w:rsid w:val="00DA537C"/>
    <w:rsid w:val="00DA57A1"/>
    <w:rsid w:val="00DA5A2E"/>
    <w:rsid w:val="00DA5C2B"/>
    <w:rsid w:val="00DA61CF"/>
    <w:rsid w:val="00DA6A09"/>
    <w:rsid w:val="00DA70B6"/>
    <w:rsid w:val="00DB1654"/>
    <w:rsid w:val="00DB477D"/>
    <w:rsid w:val="00DB55A9"/>
    <w:rsid w:val="00DB60C0"/>
    <w:rsid w:val="00DB63BB"/>
    <w:rsid w:val="00DB75BF"/>
    <w:rsid w:val="00DC3D9C"/>
    <w:rsid w:val="00DC7485"/>
    <w:rsid w:val="00DC7941"/>
    <w:rsid w:val="00DD3334"/>
    <w:rsid w:val="00DD73B0"/>
    <w:rsid w:val="00DD7CC9"/>
    <w:rsid w:val="00DE1225"/>
    <w:rsid w:val="00DE3088"/>
    <w:rsid w:val="00DE3D38"/>
    <w:rsid w:val="00DE4821"/>
    <w:rsid w:val="00DE49BF"/>
    <w:rsid w:val="00DE6802"/>
    <w:rsid w:val="00DF07EA"/>
    <w:rsid w:val="00DF3809"/>
    <w:rsid w:val="00DF403C"/>
    <w:rsid w:val="00DF4A08"/>
    <w:rsid w:val="00E0032E"/>
    <w:rsid w:val="00E00C0B"/>
    <w:rsid w:val="00E0116B"/>
    <w:rsid w:val="00E0152F"/>
    <w:rsid w:val="00E01EF5"/>
    <w:rsid w:val="00E0240D"/>
    <w:rsid w:val="00E0333D"/>
    <w:rsid w:val="00E038AB"/>
    <w:rsid w:val="00E039DE"/>
    <w:rsid w:val="00E03F2F"/>
    <w:rsid w:val="00E046E7"/>
    <w:rsid w:val="00E05BAC"/>
    <w:rsid w:val="00E07F4A"/>
    <w:rsid w:val="00E12406"/>
    <w:rsid w:val="00E13866"/>
    <w:rsid w:val="00E13EB0"/>
    <w:rsid w:val="00E142CB"/>
    <w:rsid w:val="00E148B4"/>
    <w:rsid w:val="00E14E75"/>
    <w:rsid w:val="00E15124"/>
    <w:rsid w:val="00E157F4"/>
    <w:rsid w:val="00E16793"/>
    <w:rsid w:val="00E172C4"/>
    <w:rsid w:val="00E203F1"/>
    <w:rsid w:val="00E204C5"/>
    <w:rsid w:val="00E206AE"/>
    <w:rsid w:val="00E20C4E"/>
    <w:rsid w:val="00E21083"/>
    <w:rsid w:val="00E211DA"/>
    <w:rsid w:val="00E22484"/>
    <w:rsid w:val="00E25724"/>
    <w:rsid w:val="00E25C4C"/>
    <w:rsid w:val="00E26392"/>
    <w:rsid w:val="00E26811"/>
    <w:rsid w:val="00E26D07"/>
    <w:rsid w:val="00E2738D"/>
    <w:rsid w:val="00E27C40"/>
    <w:rsid w:val="00E30134"/>
    <w:rsid w:val="00E33759"/>
    <w:rsid w:val="00E3391E"/>
    <w:rsid w:val="00E33FA0"/>
    <w:rsid w:val="00E3735D"/>
    <w:rsid w:val="00E40EA3"/>
    <w:rsid w:val="00E42D35"/>
    <w:rsid w:val="00E44DE2"/>
    <w:rsid w:val="00E4579A"/>
    <w:rsid w:val="00E534A2"/>
    <w:rsid w:val="00E55FDD"/>
    <w:rsid w:val="00E564AB"/>
    <w:rsid w:val="00E5683A"/>
    <w:rsid w:val="00E56BF8"/>
    <w:rsid w:val="00E57541"/>
    <w:rsid w:val="00E5790C"/>
    <w:rsid w:val="00E60B6E"/>
    <w:rsid w:val="00E60DCF"/>
    <w:rsid w:val="00E6381E"/>
    <w:rsid w:val="00E64ABC"/>
    <w:rsid w:val="00E65861"/>
    <w:rsid w:val="00E6691E"/>
    <w:rsid w:val="00E67303"/>
    <w:rsid w:val="00E702C3"/>
    <w:rsid w:val="00E73B36"/>
    <w:rsid w:val="00E74627"/>
    <w:rsid w:val="00E779C6"/>
    <w:rsid w:val="00E816A3"/>
    <w:rsid w:val="00E8184B"/>
    <w:rsid w:val="00E83D36"/>
    <w:rsid w:val="00E84535"/>
    <w:rsid w:val="00E84763"/>
    <w:rsid w:val="00E84BDC"/>
    <w:rsid w:val="00E85656"/>
    <w:rsid w:val="00E87A9B"/>
    <w:rsid w:val="00E9020B"/>
    <w:rsid w:val="00E92F83"/>
    <w:rsid w:val="00E93FB7"/>
    <w:rsid w:val="00E94C08"/>
    <w:rsid w:val="00E95738"/>
    <w:rsid w:val="00E95D89"/>
    <w:rsid w:val="00E97AE2"/>
    <w:rsid w:val="00EA222A"/>
    <w:rsid w:val="00EA3816"/>
    <w:rsid w:val="00EA3E59"/>
    <w:rsid w:val="00EA4ADB"/>
    <w:rsid w:val="00EA533D"/>
    <w:rsid w:val="00EA77DA"/>
    <w:rsid w:val="00EA7C00"/>
    <w:rsid w:val="00EB022B"/>
    <w:rsid w:val="00EB131F"/>
    <w:rsid w:val="00EB1812"/>
    <w:rsid w:val="00EB1F41"/>
    <w:rsid w:val="00EC30B5"/>
    <w:rsid w:val="00EC42A9"/>
    <w:rsid w:val="00EC44F9"/>
    <w:rsid w:val="00EC4804"/>
    <w:rsid w:val="00EC5EFE"/>
    <w:rsid w:val="00EC6D6B"/>
    <w:rsid w:val="00EC7056"/>
    <w:rsid w:val="00ED2C82"/>
    <w:rsid w:val="00ED3B0E"/>
    <w:rsid w:val="00ED5E7E"/>
    <w:rsid w:val="00ED6151"/>
    <w:rsid w:val="00EE0061"/>
    <w:rsid w:val="00EE0B0C"/>
    <w:rsid w:val="00EE1FFC"/>
    <w:rsid w:val="00EE3AFE"/>
    <w:rsid w:val="00EE40B1"/>
    <w:rsid w:val="00EE53A5"/>
    <w:rsid w:val="00EE5F3C"/>
    <w:rsid w:val="00EE6723"/>
    <w:rsid w:val="00EE6FFA"/>
    <w:rsid w:val="00EE7650"/>
    <w:rsid w:val="00EE7A73"/>
    <w:rsid w:val="00EE7CB9"/>
    <w:rsid w:val="00EF139C"/>
    <w:rsid w:val="00EF1830"/>
    <w:rsid w:val="00EF1E36"/>
    <w:rsid w:val="00EF2CE3"/>
    <w:rsid w:val="00EF337F"/>
    <w:rsid w:val="00F0222B"/>
    <w:rsid w:val="00F043C5"/>
    <w:rsid w:val="00F10012"/>
    <w:rsid w:val="00F108CB"/>
    <w:rsid w:val="00F11019"/>
    <w:rsid w:val="00F11D3A"/>
    <w:rsid w:val="00F121BE"/>
    <w:rsid w:val="00F127D5"/>
    <w:rsid w:val="00F1387A"/>
    <w:rsid w:val="00F13EFE"/>
    <w:rsid w:val="00F150C8"/>
    <w:rsid w:val="00F152A9"/>
    <w:rsid w:val="00F201CE"/>
    <w:rsid w:val="00F2089B"/>
    <w:rsid w:val="00F2193D"/>
    <w:rsid w:val="00F22F9F"/>
    <w:rsid w:val="00F235E0"/>
    <w:rsid w:val="00F23BD7"/>
    <w:rsid w:val="00F25089"/>
    <w:rsid w:val="00F30290"/>
    <w:rsid w:val="00F312C2"/>
    <w:rsid w:val="00F31825"/>
    <w:rsid w:val="00F32DAC"/>
    <w:rsid w:val="00F33812"/>
    <w:rsid w:val="00F3503C"/>
    <w:rsid w:val="00F3560B"/>
    <w:rsid w:val="00F36AF6"/>
    <w:rsid w:val="00F41090"/>
    <w:rsid w:val="00F41E8E"/>
    <w:rsid w:val="00F4405A"/>
    <w:rsid w:val="00F4435E"/>
    <w:rsid w:val="00F44AEF"/>
    <w:rsid w:val="00F47A27"/>
    <w:rsid w:val="00F47BB7"/>
    <w:rsid w:val="00F50524"/>
    <w:rsid w:val="00F50AC4"/>
    <w:rsid w:val="00F513A8"/>
    <w:rsid w:val="00F51D12"/>
    <w:rsid w:val="00F51D49"/>
    <w:rsid w:val="00F526AF"/>
    <w:rsid w:val="00F52897"/>
    <w:rsid w:val="00F539E1"/>
    <w:rsid w:val="00F53C9B"/>
    <w:rsid w:val="00F54364"/>
    <w:rsid w:val="00F546EC"/>
    <w:rsid w:val="00F60C07"/>
    <w:rsid w:val="00F611EE"/>
    <w:rsid w:val="00F612BB"/>
    <w:rsid w:val="00F62E73"/>
    <w:rsid w:val="00F63092"/>
    <w:rsid w:val="00F63647"/>
    <w:rsid w:val="00F65184"/>
    <w:rsid w:val="00F6616C"/>
    <w:rsid w:val="00F70B00"/>
    <w:rsid w:val="00F713DA"/>
    <w:rsid w:val="00F71E62"/>
    <w:rsid w:val="00F7489E"/>
    <w:rsid w:val="00F77702"/>
    <w:rsid w:val="00F81DC2"/>
    <w:rsid w:val="00F825A8"/>
    <w:rsid w:val="00F83B33"/>
    <w:rsid w:val="00F83E8C"/>
    <w:rsid w:val="00F849E5"/>
    <w:rsid w:val="00F84B00"/>
    <w:rsid w:val="00F85191"/>
    <w:rsid w:val="00F872DA"/>
    <w:rsid w:val="00F90033"/>
    <w:rsid w:val="00F9071D"/>
    <w:rsid w:val="00F90AD2"/>
    <w:rsid w:val="00F92235"/>
    <w:rsid w:val="00F9266B"/>
    <w:rsid w:val="00F937AA"/>
    <w:rsid w:val="00F93CD6"/>
    <w:rsid w:val="00F94E63"/>
    <w:rsid w:val="00F952D9"/>
    <w:rsid w:val="00F96CD5"/>
    <w:rsid w:val="00F97DE8"/>
    <w:rsid w:val="00F97E85"/>
    <w:rsid w:val="00FA02E4"/>
    <w:rsid w:val="00FA4FED"/>
    <w:rsid w:val="00FA58AB"/>
    <w:rsid w:val="00FA5996"/>
    <w:rsid w:val="00FA5CA7"/>
    <w:rsid w:val="00FA60BE"/>
    <w:rsid w:val="00FB106A"/>
    <w:rsid w:val="00FB1CDD"/>
    <w:rsid w:val="00FB3CA0"/>
    <w:rsid w:val="00FB6BC2"/>
    <w:rsid w:val="00FB6F26"/>
    <w:rsid w:val="00FB7ED3"/>
    <w:rsid w:val="00FC11FE"/>
    <w:rsid w:val="00FC1E7E"/>
    <w:rsid w:val="00FC2609"/>
    <w:rsid w:val="00FC6328"/>
    <w:rsid w:val="00FC6E16"/>
    <w:rsid w:val="00FC7A56"/>
    <w:rsid w:val="00FD06E0"/>
    <w:rsid w:val="00FD1023"/>
    <w:rsid w:val="00FD1D06"/>
    <w:rsid w:val="00FD261D"/>
    <w:rsid w:val="00FD2DCF"/>
    <w:rsid w:val="00FD32DA"/>
    <w:rsid w:val="00FD4160"/>
    <w:rsid w:val="00FD480B"/>
    <w:rsid w:val="00FD6AC7"/>
    <w:rsid w:val="00FD7D2D"/>
    <w:rsid w:val="00FE0290"/>
    <w:rsid w:val="00FE0B5F"/>
    <w:rsid w:val="00FE12CE"/>
    <w:rsid w:val="00FE1786"/>
    <w:rsid w:val="00FE22F1"/>
    <w:rsid w:val="00FE2381"/>
    <w:rsid w:val="00FE4420"/>
    <w:rsid w:val="00FE5464"/>
    <w:rsid w:val="00FE6A55"/>
    <w:rsid w:val="00FE7F88"/>
    <w:rsid w:val="00FF0180"/>
    <w:rsid w:val="00FF0B9F"/>
    <w:rsid w:val="00FF0BA9"/>
    <w:rsid w:val="00FF2196"/>
    <w:rsid w:val="00FF24F0"/>
    <w:rsid w:val="00FF29AA"/>
    <w:rsid w:val="00FF3B93"/>
    <w:rsid w:val="00FF4052"/>
    <w:rsid w:val="00FF48E2"/>
    <w:rsid w:val="00FF5126"/>
    <w:rsid w:val="00FF58A2"/>
    <w:rsid w:val="00FF62E2"/>
    <w:rsid w:val="00FF63C9"/>
    <w:rsid w:val="00FF6533"/>
    <w:rsid w:val="00FF7D1B"/>
    <w:rsid w:val="05F0CEDC"/>
    <w:rsid w:val="07D2B134"/>
    <w:rsid w:val="096BA37D"/>
    <w:rsid w:val="0FAA4CAA"/>
    <w:rsid w:val="11479542"/>
    <w:rsid w:val="12DBAD96"/>
    <w:rsid w:val="161AC294"/>
    <w:rsid w:val="17D4ACA6"/>
    <w:rsid w:val="198EB7D4"/>
    <w:rsid w:val="1B61BEDE"/>
    <w:rsid w:val="1C9A98C6"/>
    <w:rsid w:val="2081A96E"/>
    <w:rsid w:val="22DA8C7D"/>
    <w:rsid w:val="28E75A5F"/>
    <w:rsid w:val="2A40A9F2"/>
    <w:rsid w:val="2AFF49A2"/>
    <w:rsid w:val="358E95A5"/>
    <w:rsid w:val="38E97CB4"/>
    <w:rsid w:val="39A85E90"/>
    <w:rsid w:val="445E2122"/>
    <w:rsid w:val="45A9511E"/>
    <w:rsid w:val="48A07818"/>
    <w:rsid w:val="48B4DCA4"/>
    <w:rsid w:val="49DA9104"/>
    <w:rsid w:val="4E429E4C"/>
    <w:rsid w:val="4F405786"/>
    <w:rsid w:val="58074D5C"/>
    <w:rsid w:val="5F036923"/>
    <w:rsid w:val="61D2E5F3"/>
    <w:rsid w:val="63F575DA"/>
    <w:rsid w:val="69E688AA"/>
    <w:rsid w:val="6FBAFF5A"/>
    <w:rsid w:val="722AD9E3"/>
    <w:rsid w:val="75A4FD51"/>
    <w:rsid w:val="76D57649"/>
    <w:rsid w:val="7F0E9C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F71B05"/>
  <w15:docId w15:val="{8143377E-CF3B-41F5-9730-3E78D219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3BC4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7F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styleId="Listenabsatz">
    <w:name w:val="List Paragraph"/>
    <w:basedOn w:val="Standard"/>
    <w:uiPriority w:val="34"/>
    <w:qFormat/>
    <w:rsid w:val="007E5396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rsid w:val="00AE1F42"/>
  </w:style>
  <w:style w:type="paragraph" w:customStyle="1" w:styleId="StandardtextmitAufzhlung">
    <w:name w:val="Standardtext mit Aufzählung"/>
    <w:basedOn w:val="Standard"/>
    <w:next w:val="Standard"/>
    <w:qFormat/>
    <w:rsid w:val="00DE6802"/>
    <w:pPr>
      <w:numPr>
        <w:numId w:val="14"/>
      </w:numPr>
    </w:pPr>
  </w:style>
  <w:style w:type="character" w:customStyle="1" w:styleId="Formatvorlage1Zchn">
    <w:name w:val="Formatvorlage1 Zchn"/>
    <w:basedOn w:val="Absatz-Standardschriftart"/>
    <w:link w:val="Formatvorlage1"/>
    <w:rsid w:val="00AE1F42"/>
    <w:rPr>
      <w:rFonts w:ascii="Verdana" w:hAnsi="Verdana"/>
      <w:sz w:val="15"/>
    </w:rPr>
  </w:style>
  <w:style w:type="table" w:customStyle="1" w:styleId="Tabellenraster1">
    <w:name w:val="Tabellenraster1"/>
    <w:basedOn w:val="NormaleTabelle"/>
    <w:next w:val="Tabellenraster"/>
    <w:uiPriority w:val="59"/>
    <w:rsid w:val="004E563F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E7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lenraster11">
    <w:name w:val="Tabellenraster11"/>
    <w:basedOn w:val="NormaleTabelle"/>
    <w:next w:val="Tabellenraster"/>
    <w:uiPriority w:val="59"/>
    <w:rsid w:val="00FE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D48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styleId="Hyperlink">
    <w:name w:val="Hyperlink"/>
    <w:basedOn w:val="Absatz-Standardschriftart"/>
    <w:uiPriority w:val="99"/>
    <w:unhideWhenUsed/>
    <w:rsid w:val="00E26392"/>
    <w:rPr>
      <w:rFonts w:cs="Times New Roman"/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68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38B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E0B5F"/>
    <w:rPr>
      <w:rFonts w:ascii="Verdana" w:hAnsi="Verdana"/>
      <w:sz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0B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0B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0B5F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0B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0B5F"/>
    <w:rPr>
      <w:rFonts w:ascii="Verdana" w:hAnsi="Verdana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D1F9B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B272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dingeconomics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radingeconomic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5_0714_BCA%20AG_Vermittlungsvertra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fV2019">
      <a:majorFont>
        <a:latin typeface="Roboto Slab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F9A3-C095-41E6-AB57-669AF20C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A.45_0714_BCA AG_Vermittlungsvertrag.dotx</Template>
  <TotalTime>0</TotalTime>
  <Pages>5</Pages>
  <Words>1468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10697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https://tradingeconomics.com/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Yvonne-Test Voigt</dc:creator>
  <cp:lastModifiedBy>Steve Ahlborn</cp:lastModifiedBy>
  <cp:revision>2</cp:revision>
  <cp:lastPrinted>2025-03-19T13:15:00Z</cp:lastPrinted>
  <dcterms:created xsi:type="dcterms:W3CDTF">2025-04-09T14:44:00Z</dcterms:created>
  <dcterms:modified xsi:type="dcterms:W3CDTF">2025-04-09T14:44:00Z</dcterms:modified>
</cp:coreProperties>
</file>